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sz w:val="14"/>
          <w:szCs w:val="14"/>
          <w:u w:val="none"/>
          <w:shd w:fill="auto" w:val="clear"/>
          <w:vertAlign w:val="baseline"/>
        </w:rPr>
      </w:pPr>
      <w:bookmarkStart w:colFirst="0" w:colLast="0" w:name="_heading=h.gjdgxs" w:id="0"/>
      <w:bookmarkEnd w:id="0"/>
      <w:r w:rsidDel="00000000" w:rsidR="00000000" w:rsidRPr="00000000">
        <w:rPr>
          <w:rFonts w:ascii="Calibri" w:cs="Calibri" w:eastAsia="Calibri" w:hAnsi="Calibri"/>
          <w:i w:val="0"/>
          <w:smallCaps w:val="0"/>
          <w:strike w:val="0"/>
          <w:sz w:val="14"/>
          <w:szCs w:val="14"/>
          <w:u w:val="none"/>
          <w:shd w:fill="auto" w:val="clear"/>
          <w:vertAlign w:val="baseline"/>
        </w:rPr>
        <w:drawing>
          <wp:inline distB="0" distT="0" distL="0" distR="0">
            <wp:extent cx="2638723" cy="938213"/>
            <wp:effectExtent b="0" l="0" r="0" t="0"/>
            <wp:docPr descr="Idil-logo-png.png" id="1184888264" name="image8.png"/>
            <a:graphic>
              <a:graphicData uri="http://schemas.openxmlformats.org/drawingml/2006/picture">
                <pic:pic>
                  <pic:nvPicPr>
                    <pic:cNvPr descr="Idil-logo-png.png" id="0" name="image8.png"/>
                    <pic:cNvPicPr preferRelativeResize="0"/>
                  </pic:nvPicPr>
                  <pic:blipFill>
                    <a:blip r:embed="rId7"/>
                    <a:srcRect b="0" l="0" r="0" t="0"/>
                    <a:stretch>
                      <a:fillRect/>
                    </a:stretch>
                  </pic:blipFill>
                  <pic:spPr>
                    <a:xfrm>
                      <a:off x="0" y="0"/>
                      <a:ext cx="2638723" cy="938213"/>
                    </a:xfrm>
                    <a:prstGeom prst="rect"/>
                    <a:ln/>
                  </pic:spPr>
                </pic:pic>
              </a:graphicData>
            </a:graphic>
          </wp:inline>
        </w:drawing>
      </w:r>
      <w:r w:rsidDel="00000000" w:rsidR="00000000" w:rsidRPr="00000000">
        <w:rPr>
          <w:rFonts w:ascii="Calibri" w:cs="Calibri" w:eastAsia="Calibri" w:hAnsi="Calibri"/>
          <w:i w:val="0"/>
          <w:smallCaps w:val="0"/>
          <w:strike w:val="0"/>
          <w:sz w:val="14"/>
          <w:szCs w:val="14"/>
          <w:u w:val="none"/>
          <w:shd w:fill="auto" w:val="clear"/>
          <w:vertAlign w:val="baseline"/>
        </w:rPr>
        <w:drawing>
          <wp:inline distB="0" distT="0" distL="0" distR="0">
            <wp:extent cx="3173730" cy="728663"/>
            <wp:effectExtent b="0" l="0" r="0" t="0"/>
            <wp:docPr descr="logo-mbalabs.png" id="1184888266" name="image10.png"/>
            <a:graphic>
              <a:graphicData uri="http://schemas.openxmlformats.org/drawingml/2006/picture">
                <pic:pic>
                  <pic:nvPicPr>
                    <pic:cNvPr descr="logo-mbalabs.png" id="0" name="image10.png"/>
                    <pic:cNvPicPr preferRelativeResize="0"/>
                  </pic:nvPicPr>
                  <pic:blipFill>
                    <a:blip r:embed="rId8"/>
                    <a:srcRect b="0" l="0" r="0" t="0"/>
                    <a:stretch>
                      <a:fillRect/>
                    </a:stretch>
                  </pic:blipFill>
                  <pic:spPr>
                    <a:xfrm>
                      <a:off x="0" y="0"/>
                      <a:ext cx="3173730" cy="7286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left"/>
        <w:rPr>
          <w:rFonts w:ascii="Calibri" w:cs="Calibri" w:eastAsia="Calibri" w:hAnsi="Calibri"/>
          <w:b w:val="1"/>
          <w:sz w:val="72"/>
          <w:szCs w:val="72"/>
        </w:rPr>
      </w:pPr>
      <w:r w:rsidDel="00000000" w:rsidR="00000000" w:rsidRPr="00000000">
        <w:rPr>
          <w:rtl w:val="0"/>
        </w:rPr>
      </w:r>
    </w:p>
    <w:p w:rsidR="00000000" w:rsidDel="00000000" w:rsidP="00000000" w:rsidRDefault="00000000" w:rsidRPr="00000000" w14:paraId="00000004">
      <w:pPr>
        <w:spacing w:line="240" w:lineRule="auto"/>
        <w:jc w:val="center"/>
        <w:rPr>
          <w:rFonts w:ascii="Bodoni" w:cs="Bodoni" w:eastAsia="Bodoni" w:hAnsi="Bodoni"/>
          <w:b w:val="1"/>
          <w:sz w:val="72"/>
          <w:szCs w:val="72"/>
        </w:rPr>
      </w:pPr>
      <w:r w:rsidDel="00000000" w:rsidR="00000000" w:rsidRPr="00000000">
        <w:rPr>
          <w:rFonts w:ascii="Bodoni" w:cs="Bodoni" w:eastAsia="Bodoni" w:hAnsi="Bodoni"/>
          <w:b w:val="1"/>
          <w:color w:val="4f81bd"/>
          <w:sz w:val="72"/>
          <w:szCs w:val="72"/>
          <w:rtl w:val="0"/>
        </w:rPr>
        <w:t xml:space="preserve">RevoDx</w:t>
      </w:r>
      <w:sdt>
        <w:sdtPr>
          <w:tag w:val="goog_rdk_0"/>
        </w:sdtPr>
        <w:sdtContent>
          <w:r w:rsidDel="00000000" w:rsidR="00000000" w:rsidRPr="00000000">
            <w:rPr>
              <w:rFonts w:ascii="Cousine" w:cs="Cousine" w:eastAsia="Cousine" w:hAnsi="Cousine"/>
              <w:b w:val="1"/>
              <w:sz w:val="72"/>
              <w:szCs w:val="72"/>
              <w:rtl w:val="0"/>
            </w:rPr>
            <w:t xml:space="preserve"> Набір для виявлення інфекцій, що передаються статевим шляхом ІПСШ-6</w:t>
          </w:r>
        </w:sdtContent>
      </w:sdt>
    </w:p>
    <w:p w:rsidR="00000000" w:rsidDel="00000000" w:rsidP="00000000" w:rsidRDefault="00000000" w:rsidRPr="00000000" w14:paraId="00000005">
      <w:pPr>
        <w:spacing w:line="240" w:lineRule="auto"/>
        <w:jc w:val="center"/>
        <w:rPr>
          <w:rFonts w:ascii="Calibri" w:cs="Calibri" w:eastAsia="Calibri" w:hAnsi="Calibri"/>
          <w:b w:val="1"/>
          <w:sz w:val="72"/>
          <w:szCs w:val="72"/>
        </w:rPr>
      </w:pPr>
      <w:r w:rsidDel="00000000" w:rsidR="00000000" w:rsidRPr="00000000">
        <w:rPr>
          <w:rFonts w:ascii="Bodoni" w:cs="Bodoni" w:eastAsia="Bodoni" w:hAnsi="Bodoni"/>
          <w:b w:val="1"/>
          <w:color w:val="4f81bd"/>
          <w:sz w:val="56"/>
          <w:szCs w:val="56"/>
          <w:rtl w:val="0"/>
        </w:rPr>
        <w:t xml:space="preserve">RevoDx</w:t>
      </w:r>
      <w:r w:rsidDel="00000000" w:rsidR="00000000" w:rsidRPr="00000000">
        <w:rPr>
          <w:rFonts w:ascii="Bodoni" w:cs="Bodoni" w:eastAsia="Bodoni" w:hAnsi="Bodoni"/>
          <w:b w:val="1"/>
          <w:sz w:val="56"/>
          <w:szCs w:val="56"/>
          <w:rtl w:val="0"/>
        </w:rPr>
        <w:t xml:space="preserve"> STI-6 Pathogen Detection Kit</w:t>
      </w: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48"/>
          <w:szCs w:val="48"/>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Інструкція з використання</w:t>
      </w:r>
    </w:p>
    <w:p w:rsidR="00000000" w:rsidDel="00000000" w:rsidP="00000000" w:rsidRDefault="00000000" w:rsidRPr="00000000" w14:paraId="00000008">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Якісне виявлення ДНК 6 збудників інфекцій, що передаються статевим шляхом (ІПСШ)</w:t>
      </w:r>
    </w:p>
    <w:p w:rsidR="00000000" w:rsidDel="00000000" w:rsidP="00000000" w:rsidRDefault="00000000" w:rsidRPr="00000000" w14:paraId="0000000A">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B">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Для використання у діагностиці </w:t>
      </w:r>
      <w:r w:rsidDel="00000000" w:rsidR="00000000" w:rsidRPr="00000000">
        <w:rPr>
          <w:rFonts w:ascii="Calibri" w:cs="Calibri" w:eastAsia="Calibri" w:hAnsi="Calibri"/>
          <w:b w:val="1"/>
          <w:i w:val="1"/>
          <w:sz w:val="32"/>
          <w:szCs w:val="32"/>
          <w:rtl w:val="0"/>
        </w:rPr>
        <w:t xml:space="preserve">in vitro</w:t>
      </w: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Тільки для професійного використання</w:t>
      </w:r>
    </w:p>
    <w:p w:rsidR="00000000" w:rsidDel="00000000" w:rsidP="00000000" w:rsidRDefault="00000000" w:rsidRPr="00000000" w14:paraId="0000000E">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0">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1">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Каталожні номери:</w:t>
      </w:r>
    </w:p>
    <w:p w:rsidR="00000000" w:rsidDel="00000000" w:rsidP="00000000" w:rsidRDefault="00000000" w:rsidRPr="00000000" w14:paraId="00000012">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IP202424-24 –  24 тести</w:t>
      </w:r>
    </w:p>
    <w:p w:rsidR="00000000" w:rsidDel="00000000" w:rsidP="00000000" w:rsidRDefault="00000000" w:rsidRPr="00000000" w14:paraId="00000013">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32"/>
          <w:szCs w:val="32"/>
          <w:rtl w:val="0"/>
        </w:rPr>
        <w:t xml:space="preserve">IP202424-48 –  48 тестів</w: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24"/>
          <w:szCs w:val="24"/>
        </w:rPr>
        <w:drawing>
          <wp:anchor allowOverlap="1" behindDoc="0" distB="0" distT="0" distL="0" distR="0" hidden="0" layoutInCell="1" locked="0" relativeHeight="0" simplePos="0">
            <wp:simplePos x="0" y="0"/>
            <wp:positionH relativeFrom="page">
              <wp:posOffset>949325</wp:posOffset>
            </wp:positionH>
            <wp:positionV relativeFrom="page">
              <wp:posOffset>9241155</wp:posOffset>
            </wp:positionV>
            <wp:extent cx="716367" cy="232984"/>
            <wp:effectExtent b="0" l="0" r="0" t="0"/>
            <wp:wrapNone/>
            <wp:docPr id="118488826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716367" cy="232984"/>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1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Склад набору</w:t>
      </w:r>
    </w:p>
    <w:tbl>
      <w:tblPr>
        <w:tblStyle w:val="Table1"/>
        <w:tblW w:w="7442.0" w:type="dxa"/>
        <w:jc w:val="center"/>
        <w:tblLayout w:type="fixed"/>
        <w:tblLook w:val="0000"/>
      </w:tblPr>
      <w:tblGrid>
        <w:gridCol w:w="417"/>
        <w:gridCol w:w="4799"/>
        <w:gridCol w:w="1111"/>
        <w:gridCol w:w="1115"/>
        <w:tblGridChange w:id="0">
          <w:tblGrid>
            <w:gridCol w:w="417"/>
            <w:gridCol w:w="4799"/>
            <w:gridCol w:w="1111"/>
            <w:gridCol w:w="1115"/>
          </w:tblGrid>
        </w:tblGridChange>
      </w:tblGrid>
      <w:tr>
        <w:trPr>
          <w:cantSplit w:val="0"/>
          <w:trHeight w:val="3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6">
            <w:pPr>
              <w:spacing w:line="240" w:lineRule="auto"/>
              <w:jc w:val="center"/>
              <w:rPr>
                <w:rFonts w:ascii="Calibri" w:cs="Calibri" w:eastAsia="Calibri" w:hAnsi="Calibri"/>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7">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Компонент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24 тести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9">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48 тестів</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A">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B">
            <w:pPr>
              <w:spacing w:line="240" w:lineRule="auto"/>
              <w:rPr>
                <w:rFonts w:ascii="Calibri" w:cs="Calibri" w:eastAsia="Calibri" w:hAnsi="Calibri"/>
                <w:sz w:val="18"/>
                <w:szCs w:val="18"/>
              </w:rPr>
            </w:pPr>
            <w:bookmarkStart w:colFirst="0" w:colLast="0" w:name="_heading=h.30j0zll" w:id="1"/>
            <w:bookmarkEnd w:id="1"/>
            <w:r w:rsidDel="00000000" w:rsidR="00000000" w:rsidRPr="00000000">
              <w:rPr>
                <w:rFonts w:ascii="Calibri" w:cs="Calibri" w:eastAsia="Calibri" w:hAnsi="Calibri"/>
                <w:sz w:val="18"/>
                <w:szCs w:val="18"/>
                <w:rtl w:val="0"/>
              </w:rPr>
              <w:t xml:space="preserve">ІПСШ-6 ММ1 (STI-6 MM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336 мкл</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D">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672 мкл</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ІПСШ-6 ММ2 (STI-6 MM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336 мкл</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672 мкл</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2">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Суміш ферментів ІПСШ-6 (STI-6 Enzyme Mix)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 мкл</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5">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144 мкл</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6">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Позитивний контрольний зразок ІПСШ-6</w:t>
            </w:r>
          </w:p>
          <w:p w:rsidR="00000000" w:rsidDel="00000000" w:rsidP="00000000" w:rsidRDefault="00000000" w:rsidRPr="00000000" w14:paraId="0000002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(STI-6 Positive Control)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 мкл</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B">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Негативний контрольний зразок ІПСШ-6</w:t>
            </w:r>
          </w:p>
          <w:p w:rsidR="00000000" w:rsidDel="00000000" w:rsidP="00000000" w:rsidRDefault="00000000" w:rsidRPr="00000000" w14:paraId="0000002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(STI-6 Negative Control)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F">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 мкл</w:t>
            </w:r>
          </w:p>
        </w:tc>
      </w:tr>
    </w:tbl>
    <w:p w:rsidR="00000000" w:rsidDel="00000000" w:rsidP="00000000" w:rsidRDefault="00000000" w:rsidRPr="00000000" w14:paraId="00000030">
      <w:pPr>
        <w:spacing w:line="240" w:lineRule="auto"/>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Транспортування, зберігання та стабільність</w:t>
      </w:r>
    </w:p>
    <w:p w:rsidR="00000000" w:rsidDel="00000000" w:rsidP="00000000" w:rsidRDefault="00000000" w:rsidRPr="00000000" w14:paraId="00000032">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Набори можна транспортувати при температурі від +2°C до +8°C. Усі компоненти набору RevoDx STI-6 Pathogen Detection Kit слід зберігати при температурі від -25°C до -15°C. Слід уникати зберігання при більш високих температурах. За умов належного зберігання всі компоненти набору залишаються стабільними до закінчення терміну придатності, вказаного на етикетці продукту. Реагент STI-6 Enzyme Mix не можна заморожувати-розморожувати більше 3 разів, це може призвести до зниження чутливості набору. При необхідності збільшення кількості циклів заморожування-розморожування, розділіть набір на кілька аліквот зручного об’єму та зберігайте при температурі від -25°C до -15°C.</w:t>
      </w:r>
    </w:p>
    <w:p w:rsidR="00000000" w:rsidDel="00000000" w:rsidP="00000000" w:rsidRDefault="00000000" w:rsidRPr="00000000" w14:paraId="00000033">
      <w:pPr>
        <w:spacing w:line="240" w:lineRule="auto"/>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3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Передбачене використання</w:t>
      </w:r>
    </w:p>
    <w:p w:rsidR="00000000" w:rsidDel="00000000" w:rsidP="00000000" w:rsidRDefault="00000000" w:rsidRPr="00000000" w14:paraId="00000035">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RevoDx STI-6 Pathogen Detection Kit - це ПЛР-тест в режимі реального часу, призначений для якісного виявлення та ідентифікації нуклеїнових кислот специфічних бактеріальних та протозойних патогенів у зразках сечі, урогенітальних мазках або мазках з шийки матки, отриманих як від симптомних, так і від безсимптомних пацієнтів.</w:t>
      </w:r>
    </w:p>
    <w:p w:rsidR="00000000" w:rsidDel="00000000" w:rsidP="00000000" w:rsidRDefault="00000000" w:rsidRPr="00000000" w14:paraId="00000036">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Позитивні результати не виключають коінфекції з іншими патогенами. Виявлений збудник може не бути остаточною причиною захворювання. Негативні результати не виключають наявність інфекції і не повинні використовуватися як єдина підстава для прийняття рішень щодо лікування пацієнта. Негативні результати повинні поєднуватися з клінічними спостереженнями, історією хвороби та епідеміологічною інформацією.</w:t>
      </w:r>
    </w:p>
    <w:p w:rsidR="00000000" w:rsidDel="00000000" w:rsidP="00000000" w:rsidRDefault="00000000" w:rsidRPr="00000000" w14:paraId="00000037">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для виявлення збудників ІПСШ RevoDx STI-6 призначений для використання кваліфікованим і підготовленим персоналом клінічних лабораторій, спеціально проінструктованим і навченим методам ПЛР в реальному часі і процедурам діагностики in vitro.</w:t>
      </w:r>
    </w:p>
    <w:p w:rsidR="00000000" w:rsidDel="00000000" w:rsidP="00000000" w:rsidRDefault="00000000" w:rsidRPr="00000000" w14:paraId="00000038">
      <w:pPr>
        <w:spacing w:line="24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для виявлення бактеріальних та протозойних патогенів RevoDx STI-6 Pathogen Detection Kit виявляє наступні збудники:</w:t>
      </w:r>
    </w:p>
    <w:tbl>
      <w:tblPr>
        <w:tblStyle w:val="Table2"/>
        <w:tblW w:w="6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5"/>
        <w:tblGridChange w:id="0">
          <w:tblGrid>
            <w:gridCol w:w="6435"/>
          </w:tblGrid>
        </w:tblGridChange>
      </w:tblGrid>
      <w:tr>
        <w:trPr>
          <w:cantSplit w:val="0"/>
          <w:tblHeader w:val="0"/>
        </w:trPr>
        <w:tc>
          <w:tcPr>
            <w:shd w:fill="7f7f7f" w:val="clear"/>
            <w:vAlign w:val="center"/>
          </w:tcPr>
          <w:p w:rsidR="00000000" w:rsidDel="00000000" w:rsidP="00000000" w:rsidRDefault="00000000" w:rsidRPr="00000000" w14:paraId="0000003A">
            <w:pPr>
              <w:spacing w:line="240" w:lineRule="auto"/>
              <w:rPr>
                <w:rFonts w:ascii="Calibri" w:cs="Calibri" w:eastAsia="Calibri" w:hAnsi="Calibri"/>
                <w:b w:val="1"/>
                <w:sz w:val="18"/>
                <w:szCs w:val="18"/>
              </w:rPr>
            </w:pPr>
            <w:bookmarkStart w:colFirst="0" w:colLast="0" w:name="_heading=h.1fob9te" w:id="2"/>
            <w:bookmarkEnd w:id="2"/>
            <w:r w:rsidDel="00000000" w:rsidR="00000000" w:rsidRPr="00000000">
              <w:rPr>
                <w:rFonts w:ascii="Calibri" w:cs="Calibri" w:eastAsia="Calibri" w:hAnsi="Calibri"/>
                <w:b w:val="1"/>
                <w:sz w:val="18"/>
                <w:szCs w:val="18"/>
                <w:rtl w:val="0"/>
              </w:rPr>
              <w:t xml:space="preserve">Бактерії</w:t>
            </w:r>
          </w:p>
        </w:tc>
      </w:tr>
      <w:tr>
        <w:trPr>
          <w:cantSplit w:val="0"/>
          <w:trHeight w:val="1016" w:hRule="atLeast"/>
          <w:tblHeader w:val="0"/>
        </w:trPr>
        <w:tc>
          <w:tcPr>
            <w:vAlign w:val="center"/>
          </w:tcPr>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mallCaps w:val="0"/>
                <w:strike w:val="0"/>
                <w:sz w:val="18"/>
                <w:szCs w:val="18"/>
                <w:shd w:fill="auto" w:val="clear"/>
                <w:vertAlign w:val="baseline"/>
              </w:rPr>
            </w:pP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Chlamydia trachomatis</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mallCaps w:val="0"/>
                <w:strike w:val="0"/>
                <w:sz w:val="18"/>
                <w:szCs w:val="18"/>
                <w:shd w:fill="auto" w:val="clear"/>
                <w:vertAlign w:val="baseline"/>
              </w:rPr>
            </w:pP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Mycoplasma genitalium</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mallCaps w:val="0"/>
                <w:strike w:val="0"/>
                <w:sz w:val="18"/>
                <w:szCs w:val="18"/>
                <w:shd w:fill="auto" w:val="clear"/>
                <w:vertAlign w:val="baseline"/>
              </w:rPr>
            </w:pP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Mycoplasma hominis</w:t>
            </w:r>
          </w:p>
          <w:p w:rsidR="00000000" w:rsidDel="00000000" w:rsidP="00000000" w:rsidRDefault="00000000" w:rsidRPr="00000000" w14:paraId="000000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mallCaps w:val="0"/>
                <w:strike w:val="0"/>
                <w:sz w:val="18"/>
                <w:szCs w:val="18"/>
                <w:shd w:fill="auto" w:val="clear"/>
                <w:vertAlign w:val="baseline"/>
              </w:rPr>
            </w:pP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Ureaplasma urealytıcum</w:t>
            </w:r>
          </w:p>
          <w:p w:rsidR="00000000" w:rsidDel="00000000" w:rsidP="00000000" w:rsidRDefault="00000000" w:rsidRPr="00000000" w14:paraId="000000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Streptococcus agalactiae</w:t>
            </w:r>
            <w:r w:rsidDel="00000000" w:rsidR="00000000" w:rsidRPr="00000000">
              <w:rPr>
                <w:rtl w:val="0"/>
              </w:rPr>
            </w:r>
          </w:p>
        </w:tc>
      </w:tr>
      <w:tr>
        <w:trPr>
          <w:cantSplit w:val="0"/>
          <w:tblHeader w:val="0"/>
        </w:trPr>
        <w:tc>
          <w:tcPr>
            <w:shd w:fill="7f7f7f"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sz w:val="18"/>
                <w:szCs w:val="18"/>
                <w:u w:val="none"/>
                <w:shd w:fill="auto" w:val="clear"/>
                <w:vertAlign w:val="baseline"/>
              </w:rPr>
            </w:pPr>
            <w:r w:rsidDel="00000000" w:rsidR="00000000" w:rsidRPr="00000000">
              <w:rPr>
                <w:rFonts w:ascii="Calibri" w:cs="Calibri" w:eastAsia="Calibri" w:hAnsi="Calibri"/>
                <w:b w:val="1"/>
                <w:i w:val="0"/>
                <w:smallCaps w:val="0"/>
                <w:strike w:val="0"/>
                <w:sz w:val="18"/>
                <w:szCs w:val="18"/>
                <w:u w:val="none"/>
                <w:shd w:fill="auto" w:val="clear"/>
                <w:vertAlign w:val="baseline"/>
                <w:rtl w:val="0"/>
              </w:rPr>
              <w:t xml:space="preserve">Найпростіші</w:t>
            </w:r>
          </w:p>
        </w:tc>
      </w:tr>
      <w:tr>
        <w:trPr>
          <w:cantSplit w:val="0"/>
          <w:tblHeader w:val="0"/>
        </w:trPr>
        <w:tc>
          <w:tcPr>
            <w:vAlign w:val="center"/>
          </w:tcPr>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1"/>
                <w:smallCaps w:val="0"/>
                <w:strike w:val="0"/>
                <w:sz w:val="18"/>
                <w:szCs w:val="18"/>
                <w:shd w:fill="auto" w:val="clear"/>
                <w:vertAlign w:val="baseline"/>
              </w:rPr>
            </w:pP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Trichomonas vaginalis</w:t>
            </w:r>
          </w:p>
        </w:tc>
      </w:tr>
    </w:tbl>
    <w:p w:rsidR="00000000" w:rsidDel="00000000" w:rsidP="00000000" w:rsidRDefault="00000000" w:rsidRPr="00000000" w14:paraId="00000042">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Обмеження щодо використання продукту</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2" w:line="240" w:lineRule="auto"/>
        <w:ind w:left="378" w:right="0" w:hanging="143"/>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Тільки для діагностики </w:t>
      </w:r>
      <w:r w:rsidDel="00000000" w:rsidR="00000000" w:rsidRPr="00000000">
        <w:rPr>
          <w:rFonts w:ascii="Calibri" w:cs="Calibri" w:eastAsia="Calibri" w:hAnsi="Calibri"/>
          <w:i w:val="1"/>
          <w:smallCaps w:val="0"/>
          <w:strike w:val="0"/>
          <w:sz w:val="18"/>
          <w:szCs w:val="18"/>
          <w:u w:val="none"/>
          <w:shd w:fill="auto" w:val="clear"/>
          <w:vertAlign w:val="baseline"/>
          <w:rtl w:val="0"/>
        </w:rPr>
        <w:t xml:space="preserve">in vitro</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2" w:line="240" w:lineRule="auto"/>
        <w:ind w:left="378" w:right="241" w:hanging="142"/>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Потенційні мутації в цільових ділянках геномів патогенів, </w:t>
      </w:r>
      <w:r w:rsidDel="00000000" w:rsidR="00000000" w:rsidRPr="00000000">
        <w:rPr>
          <w:rFonts w:ascii="Calibri" w:cs="Calibri" w:eastAsia="Calibri" w:hAnsi="Calibri"/>
          <w:sz w:val="18"/>
          <w:szCs w:val="18"/>
          <w:rtl w:val="0"/>
        </w:rPr>
        <w:t xml:space="preserve">залучених у реакції</w:t>
      </w: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 можуть призвести до хибнонегативних результатів тесту.</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2" w:line="240" w:lineRule="auto"/>
        <w:ind w:left="378" w:right="237" w:hanging="142"/>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Цей набір валідований для використання зі зразками сечі, урогенітальними мазками або мазками з шийки матки. Тестування з іншими типами зразків може призвести до неточних результатів.</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1" w:line="240" w:lineRule="auto"/>
        <w:ind w:left="378" w:right="0" w:hanging="143"/>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Інгібітори ПЛР в елюатах можуть призвести до хибнонегативних або недійсних результатів тесту.</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2" w:line="240" w:lineRule="auto"/>
        <w:ind w:left="378" w:right="0" w:hanging="143"/>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Для отримання достовірних результатів необхідно дотримуватись правильних методів збору, транспортування, зберігання та обробки зразків.</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78" w:right="0" w:hanging="142"/>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Набір призначений для професійного використання кваліфікованим персоналом, що пройшов відповідне навчання. </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0" w:line="240" w:lineRule="auto"/>
        <w:ind w:left="378" w:right="0" w:hanging="143"/>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Дотримуйтеся інструкцій з використання до наборів для отримання оптимальних результатів ПЛР.</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9"/>
        </w:tabs>
        <w:spacing w:after="0" w:before="4" w:line="240" w:lineRule="auto"/>
        <w:ind w:left="378" w:right="0" w:hanging="143"/>
        <w:jc w:val="both"/>
        <w:rPr>
          <w:rFonts w:ascii="Calibri" w:cs="Calibri" w:eastAsia="Calibri" w:hAnsi="Calibri"/>
          <w:i w:val="0"/>
          <w:smallCaps w:val="0"/>
          <w:strike w:val="0"/>
          <w:sz w:val="18"/>
          <w:szCs w:val="18"/>
          <w:shd w:fill="auto" w:val="clear"/>
          <w:vertAlign w:val="baseline"/>
        </w:rPr>
      </w:pPr>
      <w:r w:rsidDel="00000000" w:rsidR="00000000" w:rsidRPr="00000000">
        <w:rPr>
          <w:rFonts w:ascii="Calibri" w:cs="Calibri" w:eastAsia="Calibri" w:hAnsi="Calibri"/>
          <w:i w:val="0"/>
          <w:smallCaps w:val="0"/>
          <w:strike w:val="0"/>
          <w:sz w:val="18"/>
          <w:szCs w:val="18"/>
          <w:u w:val="none"/>
          <w:shd w:fill="auto" w:val="clear"/>
          <w:vertAlign w:val="baseline"/>
          <w:rtl w:val="0"/>
        </w:rPr>
        <w:t xml:space="preserve">Не використовуйте набір після закінчення терміну придатності. Компоненти набору з різних серій не можна змішувати.</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9"/>
        </w:tabs>
        <w:spacing w:after="0" w:before="4" w:line="240" w:lineRule="auto"/>
        <w:ind w:left="378" w:right="0" w:firstLine="0"/>
        <w:jc w:val="left"/>
        <w:rPr>
          <w:rFonts w:ascii="Calibri" w:cs="Calibri" w:eastAsia="Calibri" w:hAnsi="Calibri"/>
          <w:i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Опис продукту</w:t>
      </w:r>
    </w:p>
    <w:p w:rsidR="00000000" w:rsidDel="00000000" w:rsidP="00000000" w:rsidRDefault="00000000" w:rsidRPr="00000000" w14:paraId="0000004E">
      <w:pPr>
        <w:spacing w:line="240" w:lineRule="auto"/>
        <w:jc w:val="both"/>
        <w:rPr>
          <w:rFonts w:ascii="Calibri" w:cs="Calibri" w:eastAsia="Calibri" w:hAnsi="Calibri"/>
          <w:sz w:val="18"/>
          <w:szCs w:val="18"/>
        </w:rPr>
      </w:pPr>
      <w:bookmarkStart w:colFirst="0" w:colLast="0" w:name="_heading=h.3znysh7" w:id="3"/>
      <w:bookmarkEnd w:id="3"/>
      <w:r w:rsidDel="00000000" w:rsidR="00000000" w:rsidRPr="00000000">
        <w:rPr>
          <w:rFonts w:ascii="Calibri" w:cs="Calibri" w:eastAsia="Calibri" w:hAnsi="Calibri"/>
          <w:sz w:val="18"/>
          <w:szCs w:val="18"/>
          <w:rtl w:val="0"/>
        </w:rPr>
        <w:t xml:space="preserve">Мультиплексна ПЛР у реальному часі дозволяє одночасно виявляти багато типів мікроорганізмі. При цьому чутливість та специфічність методу висока, а час детекції короткий. Таким чином цей тип аналізу є корисним для виявлення ранніх госпітальних інфекцій. </w:t>
      </w:r>
    </w:p>
    <w:p w:rsidR="00000000" w:rsidDel="00000000" w:rsidP="00000000" w:rsidRDefault="00000000" w:rsidRPr="00000000" w14:paraId="0000004F">
      <w:pPr>
        <w:spacing w:line="240" w:lineRule="auto"/>
        <w:jc w:val="both"/>
        <w:rPr>
          <w:rFonts w:ascii="Calibri" w:cs="Calibri" w:eastAsia="Calibri" w:hAnsi="Calibri"/>
          <w:sz w:val="18"/>
          <w:szCs w:val="18"/>
        </w:rPr>
      </w:pPr>
      <w:bookmarkStart w:colFirst="0" w:colLast="0" w:name="_heading=h.ehxlfe83ncxc" w:id="4"/>
      <w:bookmarkEnd w:id="4"/>
      <w:r w:rsidDel="00000000" w:rsidR="00000000" w:rsidRPr="00000000">
        <w:rPr>
          <w:rFonts w:ascii="Calibri" w:cs="Calibri" w:eastAsia="Calibri" w:hAnsi="Calibri"/>
          <w:sz w:val="18"/>
          <w:szCs w:val="18"/>
          <w:rtl w:val="0"/>
        </w:rPr>
        <w:t xml:space="preserve">RevoDx STI-6 – це ПЛР-аналіз на основі TagMan-технології, в якому між двома праймерами ПЛР знаходиться внутрішній олігонуклеотидний зонд з флуоресцентною міткою на 5'-кінці і молекулою гасника на 3'-кінці. Під час реплікації ДНК у ході ПЛР, мічений флуоресцентним барвником зонд гібридизується з ДНК-матрицею і руйнується 5'-3' ендонуклеазною активністю ДНК-полімерази </w:t>
      </w:r>
      <w:r w:rsidDel="00000000" w:rsidR="00000000" w:rsidRPr="00000000">
        <w:rPr>
          <w:rFonts w:ascii="Calibri" w:cs="Calibri" w:eastAsia="Calibri" w:hAnsi="Calibri"/>
          <w:i w:val="1"/>
          <w:sz w:val="18"/>
          <w:szCs w:val="18"/>
          <w:rtl w:val="0"/>
        </w:rPr>
        <w:t xml:space="preserve">Thermus aquaticus</w:t>
      </w:r>
      <w:r w:rsidDel="00000000" w:rsidR="00000000" w:rsidRPr="00000000">
        <w:rPr>
          <w:rFonts w:ascii="Calibri" w:cs="Calibri" w:eastAsia="Calibri" w:hAnsi="Calibri"/>
          <w:sz w:val="18"/>
          <w:szCs w:val="18"/>
          <w:rtl w:val="0"/>
        </w:rPr>
        <w:t xml:space="preserve"> (Taq) в міру подовження праймера ПЛР. Зонд розщеплюється лише тоді, коли відбувається реплікація ДНК, при чому відбувається розділення молекули флуоресцентного барвника та молекули гасника. 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 Параметр Ct (пороговий цикл) – це номер циклу ампліфікації, при якому флуоресценція реакційної суміші перевищує фіксоване порогове значення.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right="237"/>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Метод виконується безпосередньо на ДНК, виділеній із зразків пацієнта. Виявлення ДНК збудників ІПСШ здійснюється за допомогою 2 різних реакцій, в яких одночасно виявляється РНКаза Р людини в якості внутрішнього контролю, який контролює виділення та ампліфікацію мішені.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right="237"/>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right="237"/>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У наступній таблиці наведено перелік патогенів-мішеней у 2 різних реакційних пробірках:</w:t>
      </w:r>
    </w:p>
    <w:tbl>
      <w:tblPr>
        <w:tblStyle w:val="Table3"/>
        <w:tblW w:w="66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3255"/>
        <w:gridCol w:w="1680"/>
        <w:tblGridChange w:id="0">
          <w:tblGrid>
            <w:gridCol w:w="1695"/>
            <w:gridCol w:w="3255"/>
            <w:gridCol w:w="1680"/>
          </w:tblGrid>
        </w:tblGridChange>
      </w:tblGrid>
      <w:tr>
        <w:trPr>
          <w:cantSplit w:val="0"/>
          <w:tblHeader w:val="0"/>
        </w:trPr>
        <w:tc>
          <w:tcPr>
            <w:tcBorders>
              <w:bottom w:color="000000" w:space="0" w:sz="24" w:val="single"/>
            </w:tcBorders>
            <w:shd w:fill="7f7f7f" w:val="clear"/>
          </w:tcPr>
          <w:p w:rsidR="00000000" w:rsidDel="00000000" w:rsidP="00000000" w:rsidRDefault="00000000" w:rsidRPr="00000000" w14:paraId="00000053">
            <w:pPr>
              <w:spacing w:line="240" w:lineRule="auto"/>
              <w:jc w:val="center"/>
              <w:rPr>
                <w:rFonts w:ascii="Calibri" w:cs="Calibri" w:eastAsia="Calibri" w:hAnsi="Calibri"/>
                <w:b w:val="1"/>
                <w:sz w:val="18"/>
                <w:szCs w:val="18"/>
              </w:rPr>
            </w:pPr>
            <w:bookmarkStart w:colFirst="0" w:colLast="0" w:name="_heading=h.2et92p0" w:id="5"/>
            <w:bookmarkEnd w:id="5"/>
            <w:r w:rsidDel="00000000" w:rsidR="00000000" w:rsidRPr="00000000">
              <w:rPr>
                <w:rFonts w:ascii="Calibri" w:cs="Calibri" w:eastAsia="Calibri" w:hAnsi="Calibri"/>
                <w:b w:val="1"/>
                <w:sz w:val="18"/>
                <w:szCs w:val="18"/>
                <w:rtl w:val="0"/>
              </w:rPr>
              <w:t xml:space="preserve">Пробірка №</w:t>
            </w:r>
          </w:p>
        </w:tc>
        <w:tc>
          <w:tcPr>
            <w:tcBorders>
              <w:bottom w:color="000000" w:space="0" w:sz="24" w:val="single"/>
            </w:tcBorders>
            <w:shd w:fill="7f7f7f" w:val="clear"/>
          </w:tcPr>
          <w:p w:rsidR="00000000" w:rsidDel="00000000" w:rsidP="00000000" w:rsidRDefault="00000000" w:rsidRPr="00000000" w14:paraId="00000054">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Цільовий організм</w:t>
            </w:r>
          </w:p>
        </w:tc>
        <w:tc>
          <w:tcPr>
            <w:tcBorders>
              <w:bottom w:color="000000" w:space="0" w:sz="24" w:val="single"/>
              <w:right w:color="000000" w:space="0" w:sz="4" w:val="single"/>
            </w:tcBorders>
            <w:shd w:fill="7f7f7f" w:val="clear"/>
          </w:tcPr>
          <w:p w:rsidR="00000000" w:rsidDel="00000000" w:rsidP="00000000" w:rsidRDefault="00000000" w:rsidRPr="00000000" w14:paraId="00000055">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Канал детекції</w:t>
            </w:r>
          </w:p>
        </w:tc>
      </w:tr>
      <w:tr>
        <w:trPr>
          <w:cantSplit w:val="0"/>
          <w:tblHeader w:val="0"/>
        </w:trPr>
        <w:tc>
          <w:tcPr>
            <w:vMerge w:val="restart"/>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56">
            <w:pPr>
              <w:spacing w:line="240" w:lineRule="auto"/>
              <w:ind w:left="113" w:right="113" w:firstLine="0"/>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ІПСШ-6 MM 1</w:t>
            </w:r>
            <w:r w:rsidDel="00000000" w:rsidR="00000000" w:rsidRPr="00000000">
              <w:rPr>
                <w:rtl w:val="0"/>
              </w:rPr>
            </w:r>
          </w:p>
        </w:tc>
        <w:tc>
          <w:tcPr>
            <w:tcBorders>
              <w:top w:color="000000" w:space="0" w:sz="24"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7">
            <w:pPr>
              <w:spacing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Chlamydia trachomatis</w:t>
            </w:r>
          </w:p>
        </w:tc>
        <w:tc>
          <w:tcPr>
            <w:tcBorders>
              <w:top w:color="000000" w:space="0" w:sz="24"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58">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FAM</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A">
            <w:pPr>
              <w:spacing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Streptococcus agalactiae</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5B">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D">
            <w:pPr>
              <w:spacing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Mycoplasma hominis</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5E">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Внутрішній контроль</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6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Cy 5</w:t>
            </w:r>
          </w:p>
        </w:tc>
      </w:tr>
      <w:tr>
        <w:trPr>
          <w:cantSplit w:val="0"/>
          <w:tblHeader w:val="0"/>
        </w:trPr>
        <w:tc>
          <w:tcPr>
            <w:vMerge w:val="restart"/>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2">
            <w:pPr>
              <w:spacing w:line="240" w:lineRule="auto"/>
              <w:ind w:left="113" w:right="113"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ІПСШ -6 MM 2</w:t>
            </w:r>
          </w:p>
        </w:tc>
        <w:tc>
          <w:tcPr>
            <w:tcBorders>
              <w:top w:color="000000" w:space="0" w:sz="24"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3">
            <w:pPr>
              <w:spacing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Trichomonas vaginalis</w:t>
            </w:r>
          </w:p>
        </w:tc>
        <w:tc>
          <w:tcPr>
            <w:tcBorders>
              <w:top w:color="000000" w:space="0" w:sz="24"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6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FAM</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6">
            <w:pPr>
              <w:spacing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Mycoplasma genitalium</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6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9">
            <w:pPr>
              <w:spacing w:line="240" w:lineRule="auto"/>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Ureaplasma urealyticum</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06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auto" w:val="clear"/>
          </w:tcPr>
          <w:p w:rsidR="00000000" w:rsidDel="00000000" w:rsidP="00000000" w:rsidRDefault="00000000" w:rsidRPr="00000000" w14:paraId="0000006C">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Внутрішній контроль</w:t>
            </w:r>
          </w:p>
        </w:tc>
        <w:tc>
          <w:tcPr>
            <w:tcBorders>
              <w:top w:color="000000" w:space="0" w:sz="8" w:val="single"/>
              <w:left w:color="000000" w:space="0" w:sz="8" w:val="single"/>
              <w:bottom w:color="000000" w:space="0" w:sz="18" w:val="single"/>
              <w:right w:color="000000" w:space="0" w:sz="24" w:val="single"/>
            </w:tcBorders>
            <w:shd w:fill="auto" w:val="clear"/>
          </w:tcPr>
          <w:p w:rsidR="00000000" w:rsidDel="00000000" w:rsidP="00000000" w:rsidRDefault="00000000" w:rsidRPr="00000000" w14:paraId="0000006D">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Cy 5</w:t>
            </w:r>
          </w:p>
        </w:tc>
      </w:tr>
    </w:tbl>
    <w:p w:rsidR="00000000" w:rsidDel="00000000" w:rsidP="00000000" w:rsidRDefault="00000000" w:rsidRPr="00000000" w14:paraId="0000006E">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F">
      <w:pPr>
        <w:pStyle w:val="Heading1"/>
        <w:spacing w:before="93"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Прилади</w:t>
      </w:r>
    </w:p>
    <w:p w:rsidR="00000000" w:rsidDel="00000000" w:rsidP="00000000" w:rsidRDefault="00000000" w:rsidRPr="00000000" w14:paraId="00000070">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RevoDx STI-6 Pathogen Detection Kit можна використовувати із ампліфікаторами для ПЛР у реальному часі BIO-RAD CFX96, Applied Biosystems, QuantStudio5, а також приладами ДНК-технології серії ДТ (DT-prime, DT-lite). Але RevoDx STI-6 Pathogen Detection Kit також може бути сумісним з більшістю ампліфікаторів для ПЛР у реальному часі з каналами FAM, HEX, ROX і Cy5.</w:t>
      </w:r>
    </w:p>
    <w:p w:rsidR="00000000" w:rsidDel="00000000" w:rsidP="00000000" w:rsidRDefault="00000000" w:rsidRPr="00000000" w14:paraId="00000071">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72">
      <w:pPr>
        <w:pStyle w:val="Heading1"/>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Загальний опис</w:t>
      </w:r>
    </w:p>
    <w:p w:rsidR="00000000" w:rsidDel="00000000" w:rsidP="00000000" w:rsidRDefault="00000000" w:rsidRPr="00000000" w14:paraId="00000073">
      <w:pPr>
        <w:spacing w:before="7" w:lineRule="auto"/>
        <w:ind w:right="154.2047244094506"/>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Інфекції, що передаються статевим шляхом (ІПСШ), є основною причиною безпліддя, тривалої інвалідності, позаматкової вагітності та передчасних пологів. ІПСШ підвищують ризик розвитку раку статевих органів і є важким медичним, соціальним та економічним явищем для багатьох людей у всьому світі (1).</w:t>
      </w:r>
    </w:p>
    <w:p w:rsidR="00000000" w:rsidDel="00000000" w:rsidP="00000000" w:rsidRDefault="00000000" w:rsidRPr="00000000" w14:paraId="00000074">
      <w:pPr>
        <w:spacing w:before="3" w:lineRule="auto"/>
        <w:ind w:right="154.2047244094506"/>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ІПСШ можуть бути викликані різними збудниками, серед яких бактерії, віруси, гриби та найпростіші. Затримка з постановкою діагноза є одним із факторів, що ускладнює боротьбу з цими захворюваннями. Багато людей з ІПСШ не мають жодних ознак чи симптомів. Людина може почуватися здоровою і не знати, що має ІПСШ. Єдиний спосіб дізнатися про наявність таких патогенів –- це тестування (2).</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6" w:line="240" w:lineRule="auto"/>
        <w:jc w:val="both"/>
        <w:rPr>
          <w:rFonts w:ascii="Calibri" w:cs="Calibri" w:eastAsia="Calibri" w:hAnsi="Calibri"/>
          <w:b w:val="1"/>
          <w:sz w:val="16"/>
          <w:szCs w:val="16"/>
        </w:rPr>
      </w:pPr>
      <w:r w:rsidDel="00000000" w:rsidR="00000000" w:rsidRPr="00000000">
        <w:rPr>
          <w:rFonts w:ascii="Calibri" w:cs="Calibri" w:eastAsia="Calibri" w:hAnsi="Calibri"/>
          <w:sz w:val="18"/>
          <w:szCs w:val="18"/>
          <w:rtl w:val="0"/>
        </w:rPr>
        <w:t xml:space="preserve">Стратегії, спрямовані на розширення скринінгу та тестування на ІПСШ серед населення, можуть допомогти людям з ІПСШ отримати лікування, покращити стан їхнього здоров'я та зменшити ймовірність поширення ІПСШ серед інших людей. Лікування ІПСШ, відмінних від ВІЛ, може допомогти запобігти ускладненням від ІПСШ, але не запобігає поширенню ВІЛ (3).</w:t>
      </w: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sz w:val="18"/>
          <w:szCs w:val="18"/>
        </w:rPr>
      </w:pPr>
      <w:bookmarkStart w:colFirst="0" w:colLast="0" w:name="_heading=h.1t3h5sf" w:id="6"/>
      <w:bookmarkEnd w:id="6"/>
      <w:r w:rsidDel="00000000" w:rsidR="00000000" w:rsidRPr="00000000">
        <w:rPr>
          <w:rFonts w:ascii="Calibri" w:cs="Calibri" w:eastAsia="Calibri" w:hAnsi="Calibri"/>
          <w:b w:val="1"/>
          <w:sz w:val="18"/>
          <w:szCs w:val="18"/>
          <w:rtl w:val="0"/>
        </w:rPr>
        <w:t xml:space="preserve">Список джерел</w:t>
      </w:r>
      <w:r w:rsidDel="00000000" w:rsidR="00000000" w:rsidRPr="00000000">
        <w:rPr>
          <w:rtl w:val="0"/>
        </w:rPr>
      </w:r>
    </w:p>
    <w:p w:rsidR="00000000" w:rsidDel="00000000" w:rsidP="00000000" w:rsidRDefault="00000000" w:rsidRPr="00000000" w14:paraId="00000077">
      <w:pPr>
        <w:spacing w:line="240" w:lineRule="auto"/>
        <w:jc w:val="both"/>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1. Warr, A. J., Pintye, J., Kinuthia, J., Drake, A. L., Unger, J. A., Mcclelland, R. S., et al. (2019). Sexually transmitted infections during pregnancy and subsequent risk of stillbirth and infant mortality in Kenya: a prospective study. Sex. Transm. Infect. 95, 60–66. doi: 10.1136/sextrans-2018- 053597</w:t>
      </w:r>
    </w:p>
    <w:p w:rsidR="00000000" w:rsidDel="00000000" w:rsidP="00000000" w:rsidRDefault="00000000" w:rsidRPr="00000000" w14:paraId="00000078">
      <w:pPr>
        <w:spacing w:line="240" w:lineRule="auto"/>
        <w:jc w:val="both"/>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2. Scapaticci  M,  Rin  G  Da,  Bartolini  A  (2020)  Comparison  between a novel molecular tool and conventional methods for diagnostic classification of bacterial vaginosis: is integration of the  two  approaches  necessary  for  a  better  evaluation?  New  Microbiol 43: 121–126.</w:t>
      </w:r>
    </w:p>
    <w:p w:rsidR="00000000" w:rsidDel="00000000" w:rsidP="00000000" w:rsidRDefault="00000000" w:rsidRPr="00000000" w14:paraId="00000079">
      <w:pPr>
        <w:spacing w:line="240" w:lineRule="auto"/>
        <w:jc w:val="both"/>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3. Centers for Disease Control and Prevention. (2019). STDs and HIV — CDC Fact Sheet. Отримано з </w:t>
      </w:r>
      <w:hyperlink r:id="rId10">
        <w:r w:rsidDel="00000000" w:rsidR="00000000" w:rsidRPr="00000000">
          <w:rPr>
            <w:rFonts w:ascii="Calibri" w:cs="Calibri" w:eastAsia="Calibri" w:hAnsi="Calibri"/>
            <w:sz w:val="14"/>
            <w:szCs w:val="14"/>
            <w:u w:val="single"/>
            <w:rtl w:val="0"/>
          </w:rPr>
          <w:t xml:space="preserve">https://www.cdc.gov/std/hiv/stdfact-std-hiv.htm</w:t>
        </w:r>
      </w:hyperlink>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7B">
      <w:pPr>
        <w:pStyle w:val="Heading1"/>
        <w:spacing w:before="93" w:line="240" w:lineRule="auto"/>
        <w:ind w:firstLine="23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Інформація щодо безпеки</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Клінічні зразки слід розглядати як потенційно інфекційні; з ними слід працювати в зоні біобезпеки 1-го або 2-го рівня, залежно від збудника інфекції.</w:t>
      </w:r>
      <w:r w:rsidDel="00000000" w:rsidR="00000000" w:rsidRPr="00000000">
        <w:rPr>
          <w:rtl w:val="0"/>
        </w:rPr>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Уникайте будь-якого контакту шкіри з реагентами набору. У випадку контакту ретельно промити водою. </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Уникайте розбризкування та утворення аерозолів.</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Після роботи із клінічними зразками та реагентами необхідно мити руки. </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При роботі в лабораторії використовувати засоби індивідуального захисту. </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 початку та вкінці роботи дезінфікуйте усі робочі поверхні знезаражувальними розчинами.</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Переконайтесь що усі розхідні матеріали мають маркування DNase/RNase-free.</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Поводьтеся з усіма матеріалами відповідно до правил роботи в лабораторіях, що проводять дослідження молекулярно-генетичними методами, щоб запобігти перехресній контамінації. </w:t>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Використовуйте тільки повірені/калібровані дозатори та наконечники з аерозольним фільтром.</w:t>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Зберігайте набір подалі від джерел забруднення нуклеїновими кислотами, особливо продуктами ампліфікації. </w:t>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Усі маніпуляції варто проводити в окремих зонах (екстракція ДНК/РНК, приготування реакційних сумішей, ампліфікація). </w:t>
      </w:r>
    </w:p>
    <w:p w:rsidR="00000000" w:rsidDel="00000000" w:rsidP="00000000" w:rsidRDefault="00000000" w:rsidRPr="00000000" w14:paraId="00000089">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tabs>
          <w:tab w:val="left" w:leader="none" w:pos="597"/>
        </w:tabs>
        <w:spacing w:before="2" w:line="240" w:lineRule="auto"/>
        <w:ind w:left="596" w:hanging="36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Роботи повинні виконуватись в одному напрямку, починаючи із зони екстракції ДНК/РНК і закінчуючи відповідними зонами використання.</w:t>
      </w:r>
    </w:p>
    <w:p w:rsidR="00000000" w:rsidDel="00000000" w:rsidP="00000000" w:rsidRDefault="00000000" w:rsidRPr="00000000" w14:paraId="0000008B">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Характеристики набору</w:t>
      </w:r>
    </w:p>
    <w:p w:rsidR="00000000" w:rsidDel="00000000" w:rsidP="00000000" w:rsidRDefault="00000000" w:rsidRPr="00000000" w14:paraId="0000008D">
      <w:pPr>
        <w:spacing w:line="240" w:lineRule="auto"/>
        <w:rPr>
          <w:rFonts w:ascii="Calibri" w:cs="Calibri" w:eastAsia="Calibri" w:hAnsi="Calibri"/>
          <w:b w:val="1"/>
          <w:sz w:val="18"/>
          <w:szCs w:val="18"/>
        </w:rPr>
      </w:pPr>
      <w:bookmarkStart w:colFirst="0" w:colLast="0" w:name="_heading=h.4d34og8" w:id="7"/>
      <w:bookmarkEnd w:id="7"/>
      <w:r w:rsidDel="00000000" w:rsidR="00000000" w:rsidRPr="00000000">
        <w:rPr>
          <w:rFonts w:ascii="Calibri" w:cs="Calibri" w:eastAsia="Calibri" w:hAnsi="Calibri"/>
          <w:b w:val="1"/>
          <w:sz w:val="18"/>
          <w:szCs w:val="18"/>
          <w:rtl w:val="0"/>
        </w:rPr>
        <w:t xml:space="preserve">Аналітична чутливість:</w:t>
      </w:r>
    </w:p>
    <w:p w:rsidR="00000000" w:rsidDel="00000000" w:rsidP="00000000" w:rsidRDefault="00000000" w:rsidRPr="00000000" w14:paraId="0000008E">
      <w:pPr>
        <w:spacing w:line="240" w:lineRule="auto"/>
        <w:jc w:val="both"/>
        <w:rPr>
          <w:rFonts w:ascii="Calibri" w:cs="Calibri" w:eastAsia="Calibri" w:hAnsi="Calibri"/>
          <w:b w:val="1"/>
          <w:sz w:val="18"/>
          <w:szCs w:val="18"/>
        </w:rPr>
      </w:pPr>
      <w:bookmarkStart w:colFirst="0" w:colLast="0" w:name="_heading=h.2s8eyo1" w:id="8"/>
      <w:bookmarkEnd w:id="8"/>
      <w:r w:rsidDel="00000000" w:rsidR="00000000" w:rsidRPr="00000000">
        <w:rPr>
          <w:rFonts w:ascii="Calibri" w:cs="Calibri" w:eastAsia="Calibri" w:hAnsi="Calibri"/>
          <w:sz w:val="18"/>
          <w:szCs w:val="18"/>
          <w:rtl w:val="0"/>
        </w:rPr>
        <w:t xml:space="preserve">Для визначення межі виявлення (Limit of Detection, LoD) була підготовлена серія розведень кожного збудника для отримання кінцевих концентрацій 2430, 810, 270, 90 і 30 КУО/мл шляхом розведення зразків сечі, відібраних у негативних до патогенів осіб для імітації клінічних зразків. ДНК збудника очищали за допомогою набору RevoDx Pathogen DNA/RNA Purification Kit. Кожне розведення тестували в 24 повтореннях. Значення межі виявлення (LoD) розраховували за допомогою пробіт-аналізу. Межа виявлення (LoD) становила 200 КУО/мл, це значення LoD було підтверджено тестуванням додаткових 20 повторів з розведенням 200 КУО/мл. Всі 20 повторів дали позитивні результати для кожної мішені, і, таким чином, було підтверджено, що LoD становить 200 КУО/мл.</w:t>
      </w: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Інклюзивність:</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5"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Аналіз інклюзивності </w:t>
      </w:r>
      <w:r w:rsidDel="00000000" w:rsidR="00000000" w:rsidRPr="00000000">
        <w:rPr>
          <w:rFonts w:ascii="Calibri" w:cs="Calibri" w:eastAsia="Calibri" w:hAnsi="Calibri"/>
          <w:i w:val="1"/>
          <w:sz w:val="18"/>
          <w:szCs w:val="18"/>
          <w:rtl w:val="0"/>
        </w:rPr>
        <w:t xml:space="preserve">in silico </w:t>
      </w:r>
      <w:r w:rsidDel="00000000" w:rsidR="00000000" w:rsidRPr="00000000">
        <w:rPr>
          <w:rFonts w:ascii="Calibri" w:cs="Calibri" w:eastAsia="Calibri" w:hAnsi="Calibri"/>
          <w:sz w:val="18"/>
          <w:szCs w:val="18"/>
          <w:rtl w:val="0"/>
        </w:rPr>
        <w:t xml:space="preserve">праймерів та зондів RevoDx STI-6 Pathogen Detection Kit був проведений для послідовностей кожного збудника, доступних у базах даних NCBI. Результати показують, що нуклеотидні ділянки, які розпізнаються розробленими праймерами та зондами, мають 100% гомологію з всіма доступними послідовностями патогенів з баз даних/банків даних Національного центру біотехнологічної інформації (NCBI).</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5" w:line="240"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93">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Перехресна реактивність:</w:t>
      </w:r>
    </w:p>
    <w:p w:rsidR="00000000" w:rsidDel="00000000" w:rsidP="00000000" w:rsidRDefault="00000000" w:rsidRPr="00000000" w14:paraId="00000094">
      <w:pPr>
        <w:spacing w:line="240" w:lineRule="auto"/>
        <w:jc w:val="both"/>
        <w:rPr>
          <w:rFonts w:ascii="Calibri" w:cs="Calibri" w:eastAsia="Calibri" w:hAnsi="Calibri"/>
          <w:sz w:val="18"/>
          <w:szCs w:val="18"/>
        </w:rPr>
      </w:pPr>
      <w:bookmarkStart w:colFirst="0" w:colLast="0" w:name="_heading=h.17dp8vu" w:id="9"/>
      <w:bookmarkEnd w:id="9"/>
      <w:r w:rsidDel="00000000" w:rsidR="00000000" w:rsidRPr="00000000">
        <w:rPr>
          <w:rFonts w:ascii="Calibri" w:cs="Calibri" w:eastAsia="Calibri" w:hAnsi="Calibri"/>
          <w:sz w:val="18"/>
          <w:szCs w:val="18"/>
          <w:rtl w:val="0"/>
        </w:rPr>
        <w:t xml:space="preserve">Перехресна реактивність набору для </w:t>
      </w:r>
      <w:r w:rsidDel="00000000" w:rsidR="00000000" w:rsidRPr="00000000">
        <w:rPr>
          <w:rFonts w:ascii="Calibri" w:cs="Calibri" w:eastAsia="Calibri" w:hAnsi="Calibri"/>
          <w:sz w:val="18"/>
          <w:szCs w:val="18"/>
          <w:rtl w:val="0"/>
        </w:rPr>
        <w:t xml:space="preserve">виявлення збудників ІПСШ RevoDx STI-6 </w:t>
      </w:r>
      <w:r w:rsidDel="00000000" w:rsidR="00000000" w:rsidRPr="00000000">
        <w:rPr>
          <w:rFonts w:ascii="Calibri" w:cs="Calibri" w:eastAsia="Calibri" w:hAnsi="Calibri"/>
          <w:sz w:val="18"/>
          <w:szCs w:val="18"/>
          <w:rtl w:val="0"/>
        </w:rPr>
        <w:t xml:space="preserve">була оцінена як за допомогою аналізу </w:t>
      </w:r>
      <w:r w:rsidDel="00000000" w:rsidR="00000000" w:rsidRPr="00000000">
        <w:rPr>
          <w:rFonts w:ascii="Calibri" w:cs="Calibri" w:eastAsia="Calibri" w:hAnsi="Calibri"/>
          <w:i w:val="1"/>
          <w:sz w:val="18"/>
          <w:szCs w:val="18"/>
          <w:rtl w:val="0"/>
        </w:rPr>
        <w:t xml:space="preserve">in silico</w:t>
      </w:r>
      <w:r w:rsidDel="00000000" w:rsidR="00000000" w:rsidRPr="00000000">
        <w:rPr>
          <w:rFonts w:ascii="Calibri" w:cs="Calibri" w:eastAsia="Calibri" w:hAnsi="Calibri"/>
          <w:sz w:val="18"/>
          <w:szCs w:val="18"/>
          <w:rtl w:val="0"/>
        </w:rPr>
        <w:t xml:space="preserve">, так і за допомогою тестування методом ПЛР. Аналіз </w:t>
      </w:r>
      <w:r w:rsidDel="00000000" w:rsidR="00000000" w:rsidRPr="00000000">
        <w:rPr>
          <w:rFonts w:ascii="Calibri" w:cs="Calibri" w:eastAsia="Calibri" w:hAnsi="Calibri"/>
          <w:i w:val="1"/>
          <w:sz w:val="18"/>
          <w:szCs w:val="18"/>
          <w:rtl w:val="0"/>
        </w:rPr>
        <w:t xml:space="preserve">in silico</w:t>
      </w:r>
      <w:r w:rsidDel="00000000" w:rsidR="00000000" w:rsidRPr="00000000">
        <w:rPr>
          <w:rFonts w:ascii="Calibri" w:cs="Calibri" w:eastAsia="Calibri" w:hAnsi="Calibri"/>
          <w:sz w:val="18"/>
          <w:szCs w:val="18"/>
          <w:rtl w:val="0"/>
        </w:rPr>
        <w:t xml:space="preserve"> праймерів і зондів проти послідовностей 28 патогенів показав, що набір є специфічним для цільових генів збудників-мішеней і не буде перехресно реагувати з патогенами. Перераховані нижче 28 збудників були протестовані </w:t>
      </w:r>
      <w:r w:rsidDel="00000000" w:rsidR="00000000" w:rsidRPr="00000000">
        <w:rPr>
          <w:rFonts w:ascii="Calibri" w:cs="Calibri" w:eastAsia="Calibri" w:hAnsi="Calibri"/>
          <w:sz w:val="18"/>
          <w:szCs w:val="18"/>
          <w:rtl w:val="0"/>
        </w:rPr>
        <w:t xml:space="preserve">на </w:t>
      </w:r>
      <w:r w:rsidDel="00000000" w:rsidR="00000000" w:rsidRPr="00000000">
        <w:rPr>
          <w:rFonts w:ascii="Calibri" w:cs="Calibri" w:eastAsia="Calibri" w:hAnsi="Calibri"/>
          <w:sz w:val="18"/>
          <w:szCs w:val="18"/>
          <w:rtl w:val="0"/>
        </w:rPr>
        <w:t xml:space="preserve">перехресну реактивність методом ПЛР за допомогою набору RevoDx STI-6 Pathogen Detection Kit. Хибнопозитивних результатів не спостерігалося. </w:t>
      </w:r>
    </w:p>
    <w:p w:rsidR="00000000" w:rsidDel="00000000" w:rsidP="00000000" w:rsidRDefault="00000000" w:rsidRPr="00000000" w14:paraId="00000095">
      <w:pPr>
        <w:spacing w:line="240" w:lineRule="auto"/>
        <w:jc w:val="both"/>
        <w:rPr>
          <w:rFonts w:ascii="Calibri" w:cs="Calibri" w:eastAsia="Calibri" w:hAnsi="Calibri"/>
          <w:sz w:val="18"/>
          <w:szCs w:val="18"/>
        </w:rPr>
      </w:pPr>
      <w:bookmarkStart w:colFirst="0" w:colLast="0" w:name="_heading=h.3rdcrjn" w:id="10"/>
      <w:bookmarkEnd w:id="10"/>
      <w:r w:rsidDel="00000000" w:rsidR="00000000" w:rsidRPr="00000000">
        <w:rPr>
          <w:rFonts w:ascii="Calibri" w:cs="Calibri" w:eastAsia="Calibri" w:hAnsi="Calibri"/>
          <w:sz w:val="18"/>
          <w:szCs w:val="18"/>
          <w:rtl w:val="0"/>
        </w:rPr>
        <w:t xml:space="preserve">Нижче наведені результати дослідження перехресної реактивності, як </w:t>
      </w:r>
      <w:r w:rsidDel="00000000" w:rsidR="00000000" w:rsidRPr="00000000">
        <w:rPr>
          <w:rFonts w:ascii="Calibri" w:cs="Calibri" w:eastAsia="Calibri" w:hAnsi="Calibri"/>
          <w:i w:val="1"/>
          <w:sz w:val="18"/>
          <w:szCs w:val="18"/>
          <w:rtl w:val="0"/>
        </w:rPr>
        <w:t xml:space="preserve">in silico</w:t>
      </w:r>
      <w:r w:rsidDel="00000000" w:rsidR="00000000" w:rsidRPr="00000000">
        <w:rPr>
          <w:rFonts w:ascii="Calibri" w:cs="Calibri" w:eastAsia="Calibri" w:hAnsi="Calibri"/>
          <w:sz w:val="18"/>
          <w:szCs w:val="18"/>
          <w:rtl w:val="0"/>
        </w:rPr>
        <w:t xml:space="preserve">, так і методом ПЛР.</w:t>
      </w:r>
    </w:p>
    <w:p w:rsidR="00000000" w:rsidDel="00000000" w:rsidP="00000000" w:rsidRDefault="00000000" w:rsidRPr="00000000" w14:paraId="00000096">
      <w:pPr>
        <w:spacing w:line="24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7">
      <w:pPr>
        <w:spacing w:line="240" w:lineRule="auto"/>
        <w:jc w:val="both"/>
        <w:rPr>
          <w:rFonts w:ascii="Calibri" w:cs="Calibri" w:eastAsia="Calibri" w:hAnsi="Calibri"/>
          <w:b w:val="1"/>
          <w:i w:val="1"/>
          <w:sz w:val="18"/>
          <w:szCs w:val="18"/>
        </w:rPr>
      </w:pPr>
      <w:r w:rsidDel="00000000" w:rsidR="00000000" w:rsidRPr="00000000">
        <w:rPr>
          <w:rFonts w:ascii="Calibri" w:cs="Calibri" w:eastAsia="Calibri" w:hAnsi="Calibri"/>
          <w:b w:val="1"/>
          <w:sz w:val="18"/>
          <w:szCs w:val="18"/>
          <w:rtl w:val="0"/>
        </w:rPr>
        <w:t xml:space="preserve">Аналіз перехресної реактивності </w:t>
      </w:r>
      <w:r w:rsidDel="00000000" w:rsidR="00000000" w:rsidRPr="00000000">
        <w:rPr>
          <w:rFonts w:ascii="Calibri" w:cs="Calibri" w:eastAsia="Calibri" w:hAnsi="Calibri"/>
          <w:b w:val="1"/>
          <w:i w:val="1"/>
          <w:sz w:val="18"/>
          <w:szCs w:val="18"/>
          <w:rtl w:val="0"/>
        </w:rPr>
        <w:t xml:space="preserve">in silico</w:t>
      </w:r>
    </w:p>
    <w:tbl>
      <w:tblPr>
        <w:tblStyle w:val="Table4"/>
        <w:tblW w:w="53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0"/>
        <w:gridCol w:w="2490"/>
        <w:tblGridChange w:id="0">
          <w:tblGrid>
            <w:gridCol w:w="2850"/>
            <w:gridCol w:w="2490"/>
          </w:tblGrid>
        </w:tblGridChange>
      </w:tblGrid>
      <w:tr>
        <w:trPr>
          <w:cantSplit w:val="0"/>
          <w:tblHeader w:val="0"/>
        </w:trPr>
        <w:tc>
          <w:tcPr>
            <w:vAlign w:val="center"/>
          </w:tcPr>
          <w:p w:rsidR="00000000" w:rsidDel="00000000" w:rsidP="00000000" w:rsidRDefault="00000000" w:rsidRPr="00000000" w14:paraId="00000098">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Організм</w:t>
            </w:r>
          </w:p>
        </w:tc>
        <w:tc>
          <w:tcPr>
            <w:vAlign w:val="center"/>
          </w:tcPr>
          <w:p w:rsidR="00000000" w:rsidDel="00000000" w:rsidP="00000000" w:rsidRDefault="00000000" w:rsidRPr="00000000" w14:paraId="00000099">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Результат</w:t>
            </w:r>
          </w:p>
        </w:tc>
      </w:tr>
      <w:tr>
        <w:trPr>
          <w:cantSplit w:val="0"/>
          <w:tblHeader w:val="0"/>
        </w:trPr>
        <w:tc>
          <w:tcPr>
            <w:vAlign w:val="center"/>
          </w:tcPr>
          <w:p w:rsidR="00000000" w:rsidDel="00000000" w:rsidP="00000000" w:rsidRDefault="00000000" w:rsidRPr="00000000" w14:paraId="0000009A">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Pseudomonas aeruginosa</w:t>
            </w:r>
          </w:p>
        </w:tc>
        <w:tc>
          <w:tcPr>
            <w:vAlign w:val="center"/>
          </w:tcPr>
          <w:p w:rsidR="00000000" w:rsidDel="00000000" w:rsidP="00000000" w:rsidRDefault="00000000" w:rsidRPr="00000000" w14:paraId="0000009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9C">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Klebsiella pneumonia</w:t>
            </w:r>
          </w:p>
        </w:tc>
        <w:tc>
          <w:tcPr>
            <w:vAlign w:val="center"/>
          </w:tcPr>
          <w:p w:rsidR="00000000" w:rsidDel="00000000" w:rsidP="00000000" w:rsidRDefault="00000000" w:rsidRPr="00000000" w14:paraId="0000009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9E">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Enterobacter cloacae</w:t>
            </w:r>
          </w:p>
        </w:tc>
        <w:tc>
          <w:tcPr>
            <w:vAlign w:val="center"/>
          </w:tcPr>
          <w:p w:rsidR="00000000" w:rsidDel="00000000" w:rsidP="00000000" w:rsidRDefault="00000000" w:rsidRPr="00000000" w14:paraId="0000009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0">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Acinetobacter baumannii</w:t>
            </w:r>
          </w:p>
        </w:tc>
        <w:tc>
          <w:tcPr>
            <w:vAlign w:val="center"/>
          </w:tcPr>
          <w:p w:rsidR="00000000" w:rsidDel="00000000" w:rsidP="00000000" w:rsidRDefault="00000000" w:rsidRPr="00000000" w14:paraId="000000A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2">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Stenotrophomonas maltophilia</w:t>
            </w:r>
          </w:p>
        </w:tc>
        <w:tc>
          <w:tcPr>
            <w:vAlign w:val="center"/>
          </w:tcPr>
          <w:p w:rsidR="00000000" w:rsidDel="00000000" w:rsidP="00000000" w:rsidRDefault="00000000" w:rsidRPr="00000000" w14:paraId="000000A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4">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Staphyloccocus aureus</w:t>
            </w:r>
          </w:p>
        </w:tc>
        <w:tc>
          <w:tcPr>
            <w:vAlign w:val="center"/>
          </w:tcPr>
          <w:p w:rsidR="00000000" w:rsidDel="00000000" w:rsidP="00000000" w:rsidRDefault="00000000" w:rsidRPr="00000000" w14:paraId="000000A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6">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Enterococcus faecalis</w:t>
            </w:r>
          </w:p>
        </w:tc>
        <w:tc>
          <w:tcPr>
            <w:vAlign w:val="center"/>
          </w:tcPr>
          <w:p w:rsidR="00000000" w:rsidDel="00000000" w:rsidP="00000000" w:rsidRDefault="00000000" w:rsidRPr="00000000" w14:paraId="000000A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8">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Enterococcus faecium</w:t>
            </w:r>
          </w:p>
        </w:tc>
        <w:tc>
          <w:tcPr>
            <w:vAlign w:val="center"/>
          </w:tcPr>
          <w:p w:rsidR="00000000" w:rsidDel="00000000" w:rsidP="00000000" w:rsidRDefault="00000000" w:rsidRPr="00000000" w14:paraId="000000A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A">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Bacillus subtilis</w:t>
            </w:r>
          </w:p>
        </w:tc>
        <w:tc>
          <w:tcPr>
            <w:vAlign w:val="center"/>
          </w:tcPr>
          <w:p w:rsidR="00000000" w:rsidDel="00000000" w:rsidP="00000000" w:rsidRDefault="00000000" w:rsidRPr="00000000" w14:paraId="000000A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C">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Chlamydia pneumoniae</w:t>
            </w:r>
            <w:r w:rsidDel="00000000" w:rsidR="00000000" w:rsidRPr="00000000">
              <w:rPr>
                <w:rtl w:val="0"/>
              </w:rPr>
            </w:r>
          </w:p>
        </w:tc>
        <w:tc>
          <w:tcPr>
            <w:vAlign w:val="center"/>
          </w:tcPr>
          <w:p w:rsidR="00000000" w:rsidDel="00000000" w:rsidP="00000000" w:rsidRDefault="00000000" w:rsidRPr="00000000" w14:paraId="000000A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AE">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Legionella pneumophila</w:t>
            </w:r>
            <w:r w:rsidDel="00000000" w:rsidR="00000000" w:rsidRPr="00000000">
              <w:rPr>
                <w:rtl w:val="0"/>
              </w:rPr>
            </w:r>
          </w:p>
        </w:tc>
        <w:tc>
          <w:tcPr>
            <w:vAlign w:val="center"/>
          </w:tcPr>
          <w:p w:rsidR="00000000" w:rsidDel="00000000" w:rsidP="00000000" w:rsidRDefault="00000000" w:rsidRPr="00000000" w14:paraId="000000A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0">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Streptococcus salivarius</w:t>
            </w:r>
            <w:r w:rsidDel="00000000" w:rsidR="00000000" w:rsidRPr="00000000">
              <w:rPr>
                <w:rtl w:val="0"/>
              </w:rPr>
            </w:r>
          </w:p>
        </w:tc>
        <w:tc>
          <w:tcPr>
            <w:vAlign w:val="center"/>
          </w:tcPr>
          <w:p w:rsidR="00000000" w:rsidDel="00000000" w:rsidP="00000000" w:rsidRDefault="00000000" w:rsidRPr="00000000" w14:paraId="000000B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2">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Streptococcus pyogenes</w:t>
            </w:r>
            <w:r w:rsidDel="00000000" w:rsidR="00000000" w:rsidRPr="00000000">
              <w:rPr>
                <w:rtl w:val="0"/>
              </w:rPr>
            </w:r>
          </w:p>
        </w:tc>
        <w:tc>
          <w:tcPr>
            <w:vAlign w:val="center"/>
          </w:tcPr>
          <w:p w:rsidR="00000000" w:rsidDel="00000000" w:rsidP="00000000" w:rsidRDefault="00000000" w:rsidRPr="00000000" w14:paraId="000000B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4">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Bordetella pertussis</w:t>
            </w:r>
            <w:r w:rsidDel="00000000" w:rsidR="00000000" w:rsidRPr="00000000">
              <w:rPr>
                <w:rtl w:val="0"/>
              </w:rPr>
            </w:r>
          </w:p>
        </w:tc>
        <w:tc>
          <w:tcPr>
            <w:vAlign w:val="center"/>
          </w:tcPr>
          <w:p w:rsidR="00000000" w:rsidDel="00000000" w:rsidP="00000000" w:rsidRDefault="00000000" w:rsidRPr="00000000" w14:paraId="000000B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6">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Mycoplasma pneumoniae</w:t>
            </w:r>
            <w:r w:rsidDel="00000000" w:rsidR="00000000" w:rsidRPr="00000000">
              <w:rPr>
                <w:rtl w:val="0"/>
              </w:rPr>
            </w:r>
          </w:p>
        </w:tc>
        <w:tc>
          <w:tcPr>
            <w:vAlign w:val="center"/>
          </w:tcPr>
          <w:p w:rsidR="00000000" w:rsidDel="00000000" w:rsidP="00000000" w:rsidRDefault="00000000" w:rsidRPr="00000000" w14:paraId="000000B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8">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Pneumocystis jirovecii</w:t>
            </w:r>
            <w:r w:rsidDel="00000000" w:rsidR="00000000" w:rsidRPr="00000000">
              <w:rPr>
                <w:rFonts w:ascii="Calibri" w:cs="Calibri" w:eastAsia="Calibri" w:hAnsi="Calibri"/>
                <w:sz w:val="16"/>
                <w:szCs w:val="16"/>
                <w:rtl w:val="0"/>
              </w:rPr>
              <w:t xml:space="preserve"> (PJP)</w:t>
            </w:r>
          </w:p>
        </w:tc>
        <w:tc>
          <w:tcPr>
            <w:vAlign w:val="center"/>
          </w:tcPr>
          <w:p w:rsidR="00000000" w:rsidDel="00000000" w:rsidP="00000000" w:rsidRDefault="00000000" w:rsidRPr="00000000" w14:paraId="000000B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A">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Enterococcus dispar</w:t>
            </w:r>
          </w:p>
        </w:tc>
        <w:tc>
          <w:tcPr>
            <w:vAlign w:val="center"/>
          </w:tcPr>
          <w:p w:rsidR="00000000" w:rsidDel="00000000" w:rsidP="00000000" w:rsidRDefault="00000000" w:rsidRPr="00000000" w14:paraId="000000B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C">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Proteus spp.</w:t>
            </w:r>
          </w:p>
        </w:tc>
        <w:tc>
          <w:tcPr>
            <w:vAlign w:val="center"/>
          </w:tcPr>
          <w:p w:rsidR="00000000" w:rsidDel="00000000" w:rsidP="00000000" w:rsidRDefault="00000000" w:rsidRPr="00000000" w14:paraId="000000B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BE">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Saccharomyces cerevisiae</w:t>
            </w:r>
          </w:p>
        </w:tc>
        <w:tc>
          <w:tcPr>
            <w:vAlign w:val="center"/>
          </w:tcPr>
          <w:p w:rsidR="00000000" w:rsidDel="00000000" w:rsidP="00000000" w:rsidRDefault="00000000" w:rsidRPr="00000000" w14:paraId="000000B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0">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Schizosaccharomyces pombe</w:t>
            </w:r>
          </w:p>
        </w:tc>
        <w:tc>
          <w:tcPr>
            <w:vAlign w:val="center"/>
          </w:tcPr>
          <w:p w:rsidR="00000000" w:rsidDel="00000000" w:rsidP="00000000" w:rsidRDefault="00000000" w:rsidRPr="00000000" w14:paraId="000000C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2">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Aspergillus niger</w:t>
            </w:r>
          </w:p>
        </w:tc>
        <w:tc>
          <w:tcPr>
            <w:vAlign w:val="center"/>
          </w:tcPr>
          <w:p w:rsidR="00000000" w:rsidDel="00000000" w:rsidP="00000000" w:rsidRDefault="00000000" w:rsidRPr="00000000" w14:paraId="000000C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4">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Salmonella spp.</w:t>
            </w:r>
          </w:p>
        </w:tc>
        <w:tc>
          <w:tcPr>
            <w:vAlign w:val="center"/>
          </w:tcPr>
          <w:p w:rsidR="00000000" w:rsidDel="00000000" w:rsidP="00000000" w:rsidRDefault="00000000" w:rsidRPr="00000000" w14:paraId="000000C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6">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Serratia marcescens</w:t>
            </w:r>
          </w:p>
        </w:tc>
        <w:tc>
          <w:tcPr>
            <w:vAlign w:val="center"/>
          </w:tcPr>
          <w:p w:rsidR="00000000" w:rsidDel="00000000" w:rsidP="00000000" w:rsidRDefault="00000000" w:rsidRPr="00000000" w14:paraId="000000C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8">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парагрипу 1-4</w:t>
            </w:r>
          </w:p>
        </w:tc>
        <w:tc>
          <w:tcPr>
            <w:vAlign w:val="center"/>
          </w:tcPr>
          <w:p w:rsidR="00000000" w:rsidDel="00000000" w:rsidP="00000000" w:rsidRDefault="00000000" w:rsidRPr="00000000" w14:paraId="000000C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A">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грипу  A та B</w:t>
            </w:r>
          </w:p>
        </w:tc>
        <w:tc>
          <w:tcPr>
            <w:vAlign w:val="center"/>
          </w:tcPr>
          <w:p w:rsidR="00000000" w:rsidDel="00000000" w:rsidP="00000000" w:rsidRDefault="00000000" w:rsidRPr="00000000" w14:paraId="000000C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C">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Респіраторно-синцитіальний вірус </w:t>
            </w:r>
          </w:p>
        </w:tc>
        <w:tc>
          <w:tcPr>
            <w:vAlign w:val="center"/>
          </w:tcPr>
          <w:p w:rsidR="00000000" w:rsidDel="00000000" w:rsidP="00000000" w:rsidRDefault="00000000" w:rsidRPr="00000000" w14:paraId="000000C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CE">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Аденовірус  (напр. C1 Ad. 71)</w:t>
            </w:r>
          </w:p>
        </w:tc>
        <w:tc>
          <w:tcPr>
            <w:vAlign w:val="center"/>
          </w:tcPr>
          <w:p w:rsidR="00000000" w:rsidDel="00000000" w:rsidP="00000000" w:rsidRDefault="00000000" w:rsidRPr="00000000" w14:paraId="000000C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r>
        <w:trPr>
          <w:cantSplit w:val="0"/>
          <w:tblHeader w:val="0"/>
        </w:trPr>
        <w:tc>
          <w:tcPr>
            <w:vAlign w:val="center"/>
          </w:tcPr>
          <w:p w:rsidR="00000000" w:rsidDel="00000000" w:rsidP="00000000" w:rsidRDefault="00000000" w:rsidRPr="00000000" w14:paraId="000000D0">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Метапневмовірус людини (hMPV)</w:t>
            </w:r>
          </w:p>
        </w:tc>
        <w:tc>
          <w:tcPr>
            <w:vAlign w:val="center"/>
          </w:tcPr>
          <w:p w:rsidR="00000000" w:rsidDel="00000000" w:rsidP="00000000" w:rsidRDefault="00000000" w:rsidRPr="00000000" w14:paraId="000000D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Немає гомології</w:t>
            </w:r>
          </w:p>
        </w:tc>
      </w:tr>
    </w:tbl>
    <w:p w:rsidR="00000000" w:rsidDel="00000000" w:rsidP="00000000" w:rsidRDefault="00000000" w:rsidRPr="00000000" w14:paraId="000000D2">
      <w:pPr>
        <w:spacing w:line="240" w:lineRule="auto"/>
        <w:jc w:val="both"/>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D3">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Перевірка перехресної реактивності методом ПЛР</w:t>
      </w:r>
    </w:p>
    <w:tbl>
      <w:tblPr>
        <w:tblStyle w:val="Table5"/>
        <w:tblW w:w="93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9"/>
        <w:gridCol w:w="1761.0000000000005"/>
        <w:gridCol w:w="2760"/>
        <w:gridCol w:w="1410"/>
        <w:tblGridChange w:id="0">
          <w:tblGrid>
            <w:gridCol w:w="3369"/>
            <w:gridCol w:w="1761.0000000000005"/>
            <w:gridCol w:w="2760"/>
            <w:gridCol w:w="1410"/>
          </w:tblGrid>
        </w:tblGridChange>
      </w:tblGrid>
      <w:tr>
        <w:trPr>
          <w:cantSplit w:val="0"/>
          <w:tblHeader w:val="0"/>
        </w:trPr>
        <w:tc>
          <w:tcPr>
            <w:vAlign w:val="center"/>
          </w:tcPr>
          <w:p w:rsidR="00000000" w:rsidDel="00000000" w:rsidP="00000000" w:rsidRDefault="00000000" w:rsidRPr="00000000" w14:paraId="000000D4">
            <w:pPr>
              <w:spacing w:line="240" w:lineRule="auto"/>
              <w:jc w:val="center"/>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Організм</w:t>
            </w:r>
            <w:r w:rsidDel="00000000" w:rsidR="00000000" w:rsidRPr="00000000">
              <w:rPr>
                <w:rtl w:val="0"/>
              </w:rPr>
            </w:r>
          </w:p>
        </w:tc>
        <w:tc>
          <w:tcPr>
            <w:vAlign w:val="center"/>
          </w:tcPr>
          <w:p w:rsidR="00000000" w:rsidDel="00000000" w:rsidP="00000000" w:rsidRDefault="00000000" w:rsidRPr="00000000" w14:paraId="000000D5">
            <w:pPr>
              <w:spacing w:line="240" w:lineRule="auto"/>
              <w:jc w:val="center"/>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Джерело</w:t>
            </w:r>
            <w:r w:rsidDel="00000000" w:rsidR="00000000" w:rsidRPr="00000000">
              <w:rPr>
                <w:rtl w:val="0"/>
              </w:rPr>
            </w:r>
          </w:p>
        </w:tc>
        <w:tc>
          <w:tcPr>
            <w:vAlign w:val="center"/>
          </w:tcPr>
          <w:p w:rsidR="00000000" w:rsidDel="00000000" w:rsidP="00000000" w:rsidRDefault="00000000" w:rsidRPr="00000000" w14:paraId="000000D6">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Концентрація</w:t>
            </w:r>
          </w:p>
        </w:tc>
        <w:tc>
          <w:tcPr>
            <w:vAlign w:val="center"/>
          </w:tcPr>
          <w:p w:rsidR="00000000" w:rsidDel="00000000" w:rsidP="00000000" w:rsidRDefault="00000000" w:rsidRPr="00000000" w14:paraId="000000D7">
            <w:pPr>
              <w:spacing w:line="240" w:lineRule="auto"/>
              <w:jc w:val="center"/>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Результат</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8">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Pseudomonas aeruginosa</w:t>
            </w:r>
          </w:p>
        </w:tc>
        <w:tc>
          <w:tcPr>
            <w:vAlign w:val="center"/>
          </w:tcPr>
          <w:p w:rsidR="00000000" w:rsidDel="00000000" w:rsidP="00000000" w:rsidRDefault="00000000" w:rsidRPr="00000000" w14:paraId="000000D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D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D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C">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Klebsiella pneumonia</w:t>
            </w:r>
          </w:p>
        </w:tc>
        <w:tc>
          <w:tcPr>
            <w:vAlign w:val="center"/>
          </w:tcPr>
          <w:p w:rsidR="00000000" w:rsidDel="00000000" w:rsidP="00000000" w:rsidRDefault="00000000" w:rsidRPr="00000000" w14:paraId="000000D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D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D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0">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Enterobacter cloacae</w:t>
            </w:r>
          </w:p>
        </w:tc>
        <w:tc>
          <w:tcPr>
            <w:vAlign w:val="center"/>
          </w:tcPr>
          <w:p w:rsidR="00000000" w:rsidDel="00000000" w:rsidP="00000000" w:rsidRDefault="00000000" w:rsidRPr="00000000" w14:paraId="000000E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E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E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4">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Acinetobacter baumannii</w:t>
            </w:r>
          </w:p>
        </w:tc>
        <w:tc>
          <w:tcPr>
            <w:vAlign w:val="center"/>
          </w:tcPr>
          <w:p w:rsidR="00000000" w:rsidDel="00000000" w:rsidP="00000000" w:rsidRDefault="00000000" w:rsidRPr="00000000" w14:paraId="000000E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E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E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8">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Stenotrophomonas maltophilia</w:t>
            </w:r>
          </w:p>
        </w:tc>
        <w:tc>
          <w:tcPr>
            <w:vAlign w:val="center"/>
          </w:tcPr>
          <w:p w:rsidR="00000000" w:rsidDel="00000000" w:rsidP="00000000" w:rsidRDefault="00000000" w:rsidRPr="00000000" w14:paraId="000000E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E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E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C">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Staphyloccocus aureus</w:t>
            </w:r>
          </w:p>
        </w:tc>
        <w:tc>
          <w:tcPr>
            <w:vAlign w:val="center"/>
          </w:tcPr>
          <w:p w:rsidR="00000000" w:rsidDel="00000000" w:rsidP="00000000" w:rsidRDefault="00000000" w:rsidRPr="00000000" w14:paraId="000000E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E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E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0">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Enterococcus faecalis</w:t>
            </w:r>
          </w:p>
        </w:tc>
        <w:tc>
          <w:tcPr>
            <w:vAlign w:val="center"/>
          </w:tcPr>
          <w:p w:rsidR="00000000" w:rsidDel="00000000" w:rsidP="00000000" w:rsidRDefault="00000000" w:rsidRPr="00000000" w14:paraId="000000F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F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F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4">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Enterococcus faecium</w:t>
            </w:r>
          </w:p>
        </w:tc>
        <w:tc>
          <w:tcPr>
            <w:vAlign w:val="center"/>
          </w:tcPr>
          <w:p w:rsidR="00000000" w:rsidDel="00000000" w:rsidP="00000000" w:rsidRDefault="00000000" w:rsidRPr="00000000" w14:paraId="000000F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F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F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8">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Chlamydia pneumoniae</w:t>
            </w:r>
            <w:r w:rsidDel="00000000" w:rsidR="00000000" w:rsidRPr="00000000">
              <w:rPr>
                <w:rtl w:val="0"/>
              </w:rPr>
            </w:r>
          </w:p>
        </w:tc>
        <w:tc>
          <w:tcPr>
            <w:vAlign w:val="center"/>
          </w:tcPr>
          <w:p w:rsidR="00000000" w:rsidDel="00000000" w:rsidP="00000000" w:rsidRDefault="00000000" w:rsidRPr="00000000" w14:paraId="000000F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F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F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C">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Legionella pneumophila</w:t>
            </w:r>
            <w:r w:rsidDel="00000000" w:rsidR="00000000" w:rsidRPr="00000000">
              <w:rPr>
                <w:rtl w:val="0"/>
              </w:rPr>
            </w:r>
          </w:p>
        </w:tc>
        <w:tc>
          <w:tcPr>
            <w:vAlign w:val="center"/>
          </w:tcPr>
          <w:p w:rsidR="00000000" w:rsidDel="00000000" w:rsidP="00000000" w:rsidRDefault="00000000" w:rsidRPr="00000000" w14:paraId="000000F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0F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0F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0">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Streptococcus pyogenes</w:t>
            </w:r>
            <w:r w:rsidDel="00000000" w:rsidR="00000000" w:rsidRPr="00000000">
              <w:rPr>
                <w:rtl w:val="0"/>
              </w:rPr>
            </w:r>
          </w:p>
        </w:tc>
        <w:tc>
          <w:tcPr>
            <w:vAlign w:val="center"/>
          </w:tcPr>
          <w:p w:rsidR="00000000" w:rsidDel="00000000" w:rsidP="00000000" w:rsidRDefault="00000000" w:rsidRPr="00000000" w14:paraId="0000010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0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0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4">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Bordetella pertussis</w:t>
            </w:r>
            <w:r w:rsidDel="00000000" w:rsidR="00000000" w:rsidRPr="00000000">
              <w:rPr>
                <w:rtl w:val="0"/>
              </w:rPr>
            </w:r>
          </w:p>
        </w:tc>
        <w:tc>
          <w:tcPr>
            <w:vAlign w:val="center"/>
          </w:tcPr>
          <w:p w:rsidR="00000000" w:rsidDel="00000000" w:rsidP="00000000" w:rsidRDefault="00000000" w:rsidRPr="00000000" w14:paraId="0000010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0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0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Mycoplasma pneumoniae</w:t>
            </w:r>
            <w:r w:rsidDel="00000000" w:rsidR="00000000" w:rsidRPr="00000000">
              <w:rPr>
                <w:rtl w:val="0"/>
              </w:rPr>
            </w:r>
          </w:p>
        </w:tc>
        <w:tc>
          <w:tcPr>
            <w:vAlign w:val="center"/>
          </w:tcPr>
          <w:p w:rsidR="00000000" w:rsidDel="00000000" w:rsidP="00000000" w:rsidRDefault="00000000" w:rsidRPr="00000000" w14:paraId="0000010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0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0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C">
            <w:pPr>
              <w:spacing w:line="240" w:lineRule="auto"/>
              <w:rPr>
                <w:rFonts w:ascii="Calibri" w:cs="Calibri" w:eastAsia="Calibri" w:hAnsi="Calibri"/>
                <w:sz w:val="16"/>
                <w:szCs w:val="16"/>
              </w:rPr>
            </w:pPr>
            <w:r w:rsidDel="00000000" w:rsidR="00000000" w:rsidRPr="00000000">
              <w:rPr>
                <w:rFonts w:ascii="Calibri" w:cs="Calibri" w:eastAsia="Calibri" w:hAnsi="Calibri"/>
                <w:i w:val="1"/>
                <w:sz w:val="16"/>
                <w:szCs w:val="16"/>
                <w:rtl w:val="0"/>
              </w:rPr>
              <w:t xml:space="preserve">Pneumocystis jirovecii</w:t>
            </w:r>
            <w:r w:rsidDel="00000000" w:rsidR="00000000" w:rsidRPr="00000000">
              <w:rPr>
                <w:rFonts w:ascii="Calibri" w:cs="Calibri" w:eastAsia="Calibri" w:hAnsi="Calibri"/>
                <w:sz w:val="16"/>
                <w:szCs w:val="16"/>
                <w:rtl w:val="0"/>
              </w:rPr>
              <w:t xml:space="preserve"> (PJP)</w:t>
            </w:r>
          </w:p>
        </w:tc>
        <w:tc>
          <w:tcPr>
            <w:vAlign w:val="center"/>
          </w:tcPr>
          <w:p w:rsidR="00000000" w:rsidDel="00000000" w:rsidP="00000000" w:rsidRDefault="00000000" w:rsidRPr="00000000" w14:paraId="0000010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0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0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0">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Enterococcus dispar</w:t>
            </w:r>
            <w:r w:rsidDel="00000000" w:rsidR="00000000" w:rsidRPr="00000000">
              <w:rPr>
                <w:rtl w:val="0"/>
              </w:rPr>
            </w:r>
          </w:p>
        </w:tc>
        <w:tc>
          <w:tcPr>
            <w:vAlign w:val="center"/>
          </w:tcPr>
          <w:p w:rsidR="00000000" w:rsidDel="00000000" w:rsidP="00000000" w:rsidRDefault="00000000" w:rsidRPr="00000000" w14:paraId="0000011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1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1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4">
            <w:pPr>
              <w:spacing w:line="240" w:lineRule="auto"/>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Aspergillus niger</w:t>
            </w:r>
          </w:p>
        </w:tc>
        <w:tc>
          <w:tcPr>
            <w:vAlign w:val="center"/>
          </w:tcPr>
          <w:p w:rsidR="00000000" w:rsidDel="00000000" w:rsidP="00000000" w:rsidRDefault="00000000" w:rsidRPr="00000000" w14:paraId="0000011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1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1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8">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Коронавірус людини (229E)</w:t>
            </w:r>
          </w:p>
        </w:tc>
        <w:tc>
          <w:tcPr>
            <w:vAlign w:val="center"/>
          </w:tcPr>
          <w:p w:rsidR="00000000" w:rsidDel="00000000" w:rsidP="00000000" w:rsidRDefault="00000000" w:rsidRPr="00000000" w14:paraId="0000011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09/132)</w:t>
            </w:r>
            <w:r w:rsidDel="00000000" w:rsidR="00000000" w:rsidRPr="00000000">
              <w:rPr>
                <w:rtl w:val="0"/>
              </w:rPr>
            </w:r>
          </w:p>
        </w:tc>
        <w:tc>
          <w:tcPr>
            <w:vAlign w:val="center"/>
          </w:tcPr>
          <w:p w:rsidR="00000000" w:rsidDel="00000000" w:rsidP="00000000" w:rsidRDefault="00000000" w:rsidRPr="00000000" w14:paraId="0000011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1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C">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Аденовірус людини</w:t>
            </w:r>
          </w:p>
        </w:tc>
        <w:tc>
          <w:tcPr>
            <w:vAlign w:val="center"/>
          </w:tcPr>
          <w:p w:rsidR="00000000" w:rsidDel="00000000" w:rsidP="00000000" w:rsidRDefault="00000000" w:rsidRPr="00000000" w14:paraId="0000011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16/324)</w:t>
            </w:r>
            <w:r w:rsidDel="00000000" w:rsidR="00000000" w:rsidRPr="00000000">
              <w:rPr>
                <w:rtl w:val="0"/>
              </w:rPr>
            </w:r>
          </w:p>
        </w:tc>
        <w:tc>
          <w:tcPr>
            <w:vAlign w:val="center"/>
          </w:tcPr>
          <w:p w:rsidR="00000000" w:rsidDel="00000000" w:rsidP="00000000" w:rsidRDefault="00000000" w:rsidRPr="00000000" w14:paraId="0000011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2.0×10 МО/мл</w:t>
            </w:r>
            <w:r w:rsidDel="00000000" w:rsidR="00000000" w:rsidRPr="00000000">
              <w:rPr>
                <w:rFonts w:ascii="Calibri" w:cs="Calibri" w:eastAsia="Calibri" w:hAnsi="Calibri"/>
                <w:sz w:val="16"/>
                <w:szCs w:val="16"/>
                <w:vertAlign w:val="superscript"/>
                <w:rtl w:val="0"/>
              </w:rPr>
              <w:t xml:space="preserve">8</w:t>
            </w:r>
            <w:r w:rsidDel="00000000" w:rsidR="00000000" w:rsidRPr="00000000">
              <w:rPr>
                <w:rtl w:val="0"/>
              </w:rPr>
            </w:r>
          </w:p>
        </w:tc>
        <w:tc>
          <w:tcPr>
            <w:vAlign w:val="center"/>
          </w:tcPr>
          <w:p w:rsidR="00000000" w:rsidDel="00000000" w:rsidP="00000000" w:rsidRDefault="00000000" w:rsidRPr="00000000" w14:paraId="0000011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0">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грипу (A/Christchurch/1/2003, H1N1)</w:t>
            </w:r>
          </w:p>
        </w:tc>
        <w:tc>
          <w:tcPr>
            <w:vAlign w:val="center"/>
          </w:tcPr>
          <w:p w:rsidR="00000000" w:rsidDel="00000000" w:rsidP="00000000" w:rsidRDefault="00000000" w:rsidRPr="00000000" w14:paraId="0000012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07/296)</w:t>
            </w:r>
            <w:r w:rsidDel="00000000" w:rsidR="00000000" w:rsidRPr="00000000">
              <w:rPr>
                <w:rtl w:val="0"/>
              </w:rPr>
            </w:r>
          </w:p>
        </w:tc>
        <w:tc>
          <w:tcPr>
            <w:vAlign w:val="center"/>
          </w:tcPr>
          <w:p w:rsidR="00000000" w:rsidDel="00000000" w:rsidP="00000000" w:rsidRDefault="00000000" w:rsidRPr="00000000" w14:paraId="0000012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2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4">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грипу (A/Wyoming/3/2003, H3N2)</w:t>
            </w:r>
          </w:p>
        </w:tc>
        <w:tc>
          <w:tcPr>
            <w:vAlign w:val="center"/>
          </w:tcPr>
          <w:p w:rsidR="00000000" w:rsidDel="00000000" w:rsidP="00000000" w:rsidRDefault="00000000" w:rsidRPr="00000000" w14:paraId="0000012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07/298)</w:t>
            </w:r>
            <w:r w:rsidDel="00000000" w:rsidR="00000000" w:rsidRPr="00000000">
              <w:rPr>
                <w:rtl w:val="0"/>
              </w:rPr>
            </w:r>
          </w:p>
        </w:tc>
        <w:tc>
          <w:tcPr>
            <w:vAlign w:val="center"/>
          </w:tcPr>
          <w:p w:rsidR="00000000" w:rsidDel="00000000" w:rsidP="00000000" w:rsidRDefault="00000000" w:rsidRPr="00000000" w14:paraId="0000012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2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8">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грипу (B/Jiangsu/10/2003)</w:t>
            </w:r>
          </w:p>
        </w:tc>
        <w:tc>
          <w:tcPr>
            <w:vAlign w:val="center"/>
          </w:tcPr>
          <w:p w:rsidR="00000000" w:rsidDel="00000000" w:rsidP="00000000" w:rsidRDefault="00000000" w:rsidRPr="00000000" w14:paraId="0000012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07/300)</w:t>
            </w:r>
            <w:r w:rsidDel="00000000" w:rsidR="00000000" w:rsidRPr="00000000">
              <w:rPr>
                <w:rtl w:val="0"/>
              </w:rPr>
            </w:r>
          </w:p>
        </w:tc>
        <w:tc>
          <w:tcPr>
            <w:vAlign w:val="center"/>
          </w:tcPr>
          <w:p w:rsidR="00000000" w:rsidDel="00000000" w:rsidP="00000000" w:rsidRDefault="00000000" w:rsidRPr="00000000" w14:paraId="0000012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2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2C">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імунодефіциту людини 1 (ВІЛ-1)</w:t>
            </w:r>
          </w:p>
        </w:tc>
        <w:tc>
          <w:tcPr>
            <w:vAlign w:val="center"/>
          </w:tcPr>
          <w:p w:rsidR="00000000" w:rsidDel="00000000" w:rsidP="00000000" w:rsidRDefault="00000000" w:rsidRPr="00000000" w14:paraId="0000012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16/194)</w:t>
            </w:r>
            <w:r w:rsidDel="00000000" w:rsidR="00000000" w:rsidRPr="00000000">
              <w:rPr>
                <w:rtl w:val="0"/>
              </w:rPr>
            </w:r>
          </w:p>
        </w:tc>
        <w:tc>
          <w:tcPr>
            <w:vAlign w:val="center"/>
          </w:tcPr>
          <w:p w:rsidR="00000000" w:rsidDel="00000000" w:rsidP="00000000" w:rsidRDefault="00000000" w:rsidRPr="00000000" w14:paraId="0000012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1.25×10 МО/мл</w:t>
            </w:r>
            <w:r w:rsidDel="00000000" w:rsidR="00000000" w:rsidRPr="00000000">
              <w:rPr>
                <w:rFonts w:ascii="Calibri" w:cs="Calibri" w:eastAsia="Calibri" w:hAnsi="Calibri"/>
                <w:sz w:val="16"/>
                <w:szCs w:val="16"/>
                <w:vertAlign w:val="superscript"/>
                <w:rtl w:val="0"/>
              </w:rPr>
              <w:t xml:space="preserve">5</w:t>
            </w:r>
            <w:r w:rsidDel="00000000" w:rsidR="00000000" w:rsidRPr="00000000">
              <w:rPr>
                <w:rtl w:val="0"/>
              </w:rPr>
            </w:r>
          </w:p>
        </w:tc>
        <w:tc>
          <w:tcPr>
            <w:vAlign w:val="center"/>
          </w:tcPr>
          <w:p w:rsidR="00000000" w:rsidDel="00000000" w:rsidP="00000000" w:rsidRDefault="00000000" w:rsidRPr="00000000" w14:paraId="0000012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0">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імунодефіциту людини 2 (ВІЛ-2)</w:t>
            </w:r>
          </w:p>
        </w:tc>
        <w:tc>
          <w:tcPr>
            <w:vAlign w:val="center"/>
          </w:tcPr>
          <w:p w:rsidR="00000000" w:rsidDel="00000000" w:rsidP="00000000" w:rsidRDefault="00000000" w:rsidRPr="00000000" w14:paraId="0000013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16/296)</w:t>
            </w:r>
            <w:r w:rsidDel="00000000" w:rsidR="00000000" w:rsidRPr="00000000">
              <w:rPr>
                <w:rtl w:val="0"/>
              </w:rPr>
            </w:r>
          </w:p>
        </w:tc>
        <w:tc>
          <w:tcPr>
            <w:vAlign w:val="center"/>
          </w:tcPr>
          <w:p w:rsidR="00000000" w:rsidDel="00000000" w:rsidP="00000000" w:rsidRDefault="00000000" w:rsidRPr="00000000" w14:paraId="0000013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2,8×10 МО/мл</w:t>
            </w:r>
            <w:r w:rsidDel="00000000" w:rsidR="00000000" w:rsidRPr="00000000">
              <w:rPr>
                <w:rFonts w:ascii="Calibri" w:cs="Calibri" w:eastAsia="Calibri" w:hAnsi="Calibri"/>
                <w:sz w:val="16"/>
                <w:szCs w:val="16"/>
                <w:vertAlign w:val="superscript"/>
                <w:rtl w:val="0"/>
              </w:rPr>
              <w:t xml:space="preserve">5</w:t>
            </w:r>
            <w:r w:rsidDel="00000000" w:rsidR="00000000" w:rsidRPr="00000000">
              <w:rPr>
                <w:rtl w:val="0"/>
              </w:rPr>
            </w:r>
          </w:p>
        </w:tc>
        <w:tc>
          <w:tcPr>
            <w:vAlign w:val="center"/>
          </w:tcPr>
          <w:p w:rsidR="00000000" w:rsidDel="00000000" w:rsidP="00000000" w:rsidRDefault="00000000" w:rsidRPr="00000000" w14:paraId="0000013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4">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Респіраторно-синцитіальний вірус людини A2</w:t>
            </w:r>
          </w:p>
        </w:tc>
        <w:tc>
          <w:tcPr>
            <w:vAlign w:val="center"/>
          </w:tcPr>
          <w:p w:rsidR="00000000" w:rsidDel="00000000" w:rsidP="00000000" w:rsidRDefault="00000000" w:rsidRPr="00000000" w14:paraId="0000013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08/120)</w:t>
            </w:r>
            <w:r w:rsidDel="00000000" w:rsidR="00000000" w:rsidRPr="00000000">
              <w:rPr>
                <w:rtl w:val="0"/>
              </w:rPr>
            </w:r>
          </w:p>
        </w:tc>
        <w:tc>
          <w:tcPr>
            <w:vAlign w:val="center"/>
          </w:tcPr>
          <w:p w:rsidR="00000000" w:rsidDel="00000000" w:rsidP="00000000" w:rsidRDefault="00000000" w:rsidRPr="00000000" w14:paraId="0000013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3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8">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парагрипу типу 1</w:t>
            </w:r>
          </w:p>
        </w:tc>
        <w:tc>
          <w:tcPr>
            <w:vAlign w:val="center"/>
          </w:tcPr>
          <w:p w:rsidR="00000000" w:rsidDel="00000000" w:rsidP="00000000" w:rsidRDefault="00000000" w:rsidRPr="00000000" w14:paraId="00000139">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08/176)</w:t>
            </w:r>
            <w:r w:rsidDel="00000000" w:rsidR="00000000" w:rsidRPr="00000000">
              <w:rPr>
                <w:rtl w:val="0"/>
              </w:rPr>
            </w:r>
          </w:p>
        </w:tc>
        <w:tc>
          <w:tcPr>
            <w:vAlign w:val="center"/>
          </w:tcPr>
          <w:p w:rsidR="00000000" w:rsidDel="00000000" w:rsidP="00000000" w:rsidRDefault="00000000" w:rsidRPr="00000000" w14:paraId="0000013A">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3B">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3C">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парагрипу типу 2</w:t>
            </w:r>
          </w:p>
        </w:tc>
        <w:tc>
          <w:tcPr>
            <w:vAlign w:val="center"/>
          </w:tcPr>
          <w:p w:rsidR="00000000" w:rsidDel="00000000" w:rsidP="00000000" w:rsidRDefault="00000000" w:rsidRPr="00000000" w14:paraId="0000013D">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08/178)</w:t>
            </w:r>
            <w:r w:rsidDel="00000000" w:rsidR="00000000" w:rsidRPr="00000000">
              <w:rPr>
                <w:rtl w:val="0"/>
              </w:rPr>
            </w:r>
          </w:p>
        </w:tc>
        <w:tc>
          <w:tcPr>
            <w:vAlign w:val="center"/>
          </w:tcPr>
          <w:p w:rsidR="00000000" w:rsidDel="00000000" w:rsidP="00000000" w:rsidRDefault="00000000" w:rsidRPr="00000000" w14:paraId="0000013E">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3F">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0">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парагрипу типу 3</w:t>
            </w:r>
          </w:p>
        </w:tc>
        <w:tc>
          <w:tcPr>
            <w:vAlign w:val="center"/>
          </w:tcPr>
          <w:p w:rsidR="00000000" w:rsidDel="00000000" w:rsidP="00000000" w:rsidRDefault="00000000" w:rsidRPr="00000000" w14:paraId="00000141">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08/118)</w:t>
            </w:r>
            <w:r w:rsidDel="00000000" w:rsidR="00000000" w:rsidRPr="00000000">
              <w:rPr>
                <w:rtl w:val="0"/>
              </w:rPr>
            </w:r>
          </w:p>
        </w:tc>
        <w:tc>
          <w:tcPr>
            <w:vAlign w:val="center"/>
          </w:tcPr>
          <w:p w:rsidR="00000000" w:rsidDel="00000000" w:rsidP="00000000" w:rsidRDefault="00000000" w:rsidRPr="00000000" w14:paraId="00000142">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43">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4">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Вірус парагрипу типу 4</w:t>
            </w:r>
          </w:p>
        </w:tc>
        <w:tc>
          <w:tcPr>
            <w:vAlign w:val="center"/>
          </w:tcPr>
          <w:p w:rsidR="00000000" w:rsidDel="00000000" w:rsidP="00000000" w:rsidRDefault="00000000" w:rsidRPr="00000000" w14:paraId="00000145">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NIBSC (кат. №: 08/180)</w:t>
            </w:r>
            <w:r w:rsidDel="00000000" w:rsidR="00000000" w:rsidRPr="00000000">
              <w:rPr>
                <w:rtl w:val="0"/>
              </w:rPr>
            </w:r>
          </w:p>
        </w:tc>
        <w:tc>
          <w:tcPr>
            <w:vAlign w:val="center"/>
          </w:tcPr>
          <w:p w:rsidR="00000000" w:rsidDel="00000000" w:rsidP="00000000" w:rsidRDefault="00000000" w:rsidRPr="00000000" w14:paraId="00000146">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призначена одиниця виміру</w:t>
            </w:r>
            <w:r w:rsidDel="00000000" w:rsidR="00000000" w:rsidRPr="00000000">
              <w:rPr>
                <w:rtl w:val="0"/>
              </w:rPr>
            </w:r>
          </w:p>
        </w:tc>
        <w:tc>
          <w:tcPr>
            <w:vAlign w:val="center"/>
          </w:tcPr>
          <w:p w:rsidR="00000000" w:rsidDel="00000000" w:rsidP="00000000" w:rsidRDefault="00000000" w:rsidRPr="00000000" w14:paraId="00000147">
            <w:pPr>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Не виявлено</w:t>
            </w:r>
            <w:r w:rsidDel="00000000" w:rsidR="00000000" w:rsidRPr="00000000">
              <w:rPr>
                <w:rtl w:val="0"/>
              </w:rPr>
            </w:r>
          </w:p>
        </w:tc>
      </w:tr>
    </w:tbl>
    <w:p w:rsidR="00000000" w:rsidDel="00000000" w:rsidP="00000000" w:rsidRDefault="00000000" w:rsidRPr="00000000" w14:paraId="00000148">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49">
      <w:pPr>
        <w:spacing w:line="240" w:lineRule="auto"/>
        <w:rPr>
          <w:rFonts w:ascii="Calibri" w:cs="Calibri" w:eastAsia="Calibri" w:hAnsi="Calibri"/>
          <w:b w:val="1"/>
          <w:sz w:val="18"/>
          <w:szCs w:val="18"/>
        </w:rPr>
      </w:pPr>
      <w:bookmarkStart w:colFirst="0" w:colLast="0" w:name="_heading=h.26in1rg" w:id="11"/>
      <w:bookmarkEnd w:id="11"/>
      <w:r w:rsidDel="00000000" w:rsidR="00000000" w:rsidRPr="00000000">
        <w:rPr>
          <w:rFonts w:ascii="Calibri" w:cs="Calibri" w:eastAsia="Calibri" w:hAnsi="Calibri"/>
          <w:b w:val="1"/>
          <w:sz w:val="18"/>
          <w:szCs w:val="18"/>
          <w:rtl w:val="0"/>
        </w:rPr>
        <w:t xml:space="preserve">Порівняльні клінічні випробування: </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1" w:line="240" w:lineRule="auto"/>
        <w:jc w:val="both"/>
        <w:rPr>
          <w:rFonts w:ascii="Calibri" w:cs="Calibri" w:eastAsia="Calibri" w:hAnsi="Calibri"/>
          <w:sz w:val="18"/>
          <w:szCs w:val="18"/>
        </w:rPr>
      </w:pPr>
      <w:bookmarkStart w:colFirst="0" w:colLast="0" w:name="_heading=h.lnxbz9" w:id="12"/>
      <w:bookmarkEnd w:id="12"/>
      <w:r w:rsidDel="00000000" w:rsidR="00000000" w:rsidRPr="00000000">
        <w:rPr>
          <w:rFonts w:ascii="Calibri" w:cs="Calibri" w:eastAsia="Calibri" w:hAnsi="Calibri"/>
          <w:sz w:val="18"/>
          <w:szCs w:val="18"/>
          <w:rtl w:val="0"/>
        </w:rPr>
        <w:t xml:space="preserve">Ефективність роботи </w:t>
      </w:r>
      <w:r w:rsidDel="00000000" w:rsidR="00000000" w:rsidRPr="00000000">
        <w:rPr>
          <w:rFonts w:ascii="Calibri" w:cs="Calibri" w:eastAsia="Calibri" w:hAnsi="Calibri"/>
          <w:sz w:val="18"/>
          <w:szCs w:val="18"/>
          <w:rtl w:val="0"/>
        </w:rPr>
        <w:t xml:space="preserve">набору для виявлення збудників ІПСШ RevoDx STI-6 </w:t>
      </w:r>
      <w:r w:rsidDel="00000000" w:rsidR="00000000" w:rsidRPr="00000000">
        <w:rPr>
          <w:rFonts w:ascii="Calibri" w:cs="Calibri" w:eastAsia="Calibri" w:hAnsi="Calibri"/>
          <w:sz w:val="18"/>
          <w:szCs w:val="18"/>
          <w:rtl w:val="0"/>
        </w:rPr>
        <w:t xml:space="preserve">оцінювали за допомогою архівних </w:t>
      </w:r>
      <w:r w:rsidDel="00000000" w:rsidR="00000000" w:rsidRPr="00000000">
        <w:rPr>
          <w:rFonts w:ascii="Calibri" w:cs="Calibri" w:eastAsia="Calibri" w:hAnsi="Calibri"/>
          <w:sz w:val="18"/>
          <w:szCs w:val="18"/>
          <w:rtl w:val="0"/>
        </w:rPr>
        <w:t xml:space="preserve">зразків сечі, урогенітальних мазків або мазків з шийки матки</w:t>
      </w:r>
      <w:r w:rsidDel="00000000" w:rsidR="00000000" w:rsidRPr="00000000">
        <w:rPr>
          <w:rFonts w:ascii="Calibri" w:cs="Calibri" w:eastAsia="Calibri" w:hAnsi="Calibri"/>
          <w:sz w:val="18"/>
          <w:szCs w:val="18"/>
          <w:rtl w:val="0"/>
        </w:rPr>
        <w:t xml:space="preserve">. Для кожного збудника було протестовано загалом 20 позитивних і 20 негативних зразків у рандомізованому сліпому дослідженні. Всі 20 позитивних зразків і 20 негативних зразків були отримані з лабораторії державної лікарні і попередньо протестовані за допомогою валідованого порівняльного аналізу. Зразки були виділені за допомогою набору </w:t>
      </w:r>
      <w:r w:rsidDel="00000000" w:rsidR="00000000" w:rsidRPr="00000000">
        <w:rPr>
          <w:rFonts w:ascii="Calibri" w:cs="Calibri" w:eastAsia="Calibri" w:hAnsi="Calibri"/>
          <w:sz w:val="18"/>
          <w:szCs w:val="18"/>
          <w:rtl w:val="0"/>
        </w:rPr>
        <w:t xml:space="preserve">RevoDx DNA Purification Kit from Bacteria</w:t>
      </w:r>
      <w:r w:rsidDel="00000000" w:rsidR="00000000" w:rsidRPr="00000000">
        <w:rPr>
          <w:rFonts w:ascii="Calibri" w:cs="Calibri" w:eastAsia="Calibri" w:hAnsi="Calibri"/>
          <w:sz w:val="18"/>
          <w:szCs w:val="18"/>
          <w:rtl w:val="0"/>
        </w:rPr>
        <w:t xml:space="preserve">. Потім проводили аналіз методом ПЛР за допомогою набору </w:t>
      </w:r>
      <w:r w:rsidDel="00000000" w:rsidR="00000000" w:rsidRPr="00000000">
        <w:rPr>
          <w:rFonts w:ascii="Calibri" w:cs="Calibri" w:eastAsia="Calibri" w:hAnsi="Calibri"/>
          <w:sz w:val="18"/>
          <w:szCs w:val="18"/>
          <w:rtl w:val="0"/>
        </w:rPr>
        <w:t xml:space="preserve">RevoDx STI-6 Pathogen Detection Kit</w:t>
      </w:r>
      <w:r w:rsidDel="00000000" w:rsidR="00000000" w:rsidRPr="00000000">
        <w:rPr>
          <w:rFonts w:ascii="Calibri" w:cs="Calibri" w:eastAsia="Calibri" w:hAnsi="Calibri"/>
          <w:sz w:val="18"/>
          <w:szCs w:val="18"/>
          <w:rtl w:val="0"/>
        </w:rPr>
        <w:t xml:space="preserve">. Для ампліфікації, детектування та аналізу використовували ПЛР-ампліфікатор BIO-RAD CFX96.</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jc w:val="both"/>
        <w:rPr>
          <w:rFonts w:ascii="Calibri" w:cs="Calibri" w:eastAsia="Calibri" w:hAnsi="Calibri"/>
          <w:sz w:val="18"/>
          <w:szCs w:val="18"/>
        </w:rPr>
      </w:pPr>
      <w:bookmarkStart w:colFirst="0" w:colLast="0" w:name="_heading=h.35nkun2" w:id="13"/>
      <w:bookmarkEnd w:id="13"/>
      <w:r w:rsidDel="00000000" w:rsidR="00000000" w:rsidRPr="00000000">
        <w:rPr>
          <w:rFonts w:ascii="Calibri" w:cs="Calibri" w:eastAsia="Calibri" w:hAnsi="Calibri"/>
          <w:sz w:val="18"/>
          <w:szCs w:val="18"/>
          <w:rtl w:val="0"/>
        </w:rPr>
        <w:t xml:space="preserve">За результатами тестування отримали 100% збіг з очікуваними результатами.</w:t>
      </w:r>
      <w:r w:rsidDel="00000000" w:rsidR="00000000" w:rsidRPr="00000000">
        <w:rPr>
          <w:rtl w:val="0"/>
        </w:rPr>
      </w:r>
    </w:p>
    <w:p w:rsidR="00000000" w:rsidDel="00000000" w:rsidP="00000000" w:rsidRDefault="00000000" w:rsidRPr="00000000" w14:paraId="0000014C">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4D">
      <w:pPr>
        <w:spacing w:line="240" w:lineRule="auto"/>
        <w:jc w:val="both"/>
        <w:rPr>
          <w:rFonts w:ascii="Calibri" w:cs="Calibri" w:eastAsia="Calibri" w:hAnsi="Calibri"/>
          <w:sz w:val="14"/>
          <w:szCs w:val="14"/>
        </w:rPr>
      </w:pPr>
      <w:r w:rsidDel="00000000" w:rsidR="00000000" w:rsidRPr="00000000">
        <w:rPr>
          <w:rFonts w:ascii="Calibri" w:cs="Calibri" w:eastAsia="Calibri" w:hAnsi="Calibri"/>
          <w:b w:val="1"/>
          <w:sz w:val="20"/>
          <w:szCs w:val="20"/>
          <w:rtl w:val="0"/>
        </w:rPr>
        <w:t xml:space="preserve">Додаткові матеріали та обладнання</w:t>
      </w:r>
      <w:r w:rsidDel="00000000" w:rsidR="00000000" w:rsidRPr="00000000">
        <w:rPr>
          <w:rtl w:val="0"/>
        </w:rPr>
      </w:r>
    </w:p>
    <w:p w:rsidR="00000000" w:rsidDel="00000000" w:rsidP="00000000" w:rsidRDefault="00000000" w:rsidRPr="00000000" w14:paraId="0000014E">
      <w:pPr>
        <w:numPr>
          <w:ilvl w:val="0"/>
          <w:numId w:val="3"/>
        </w:numPr>
        <w:pBdr>
          <w:top w:space="0" w:sz="0" w:val="nil"/>
          <w:left w:space="0" w:sz="0" w:val="nil"/>
          <w:bottom w:space="0" w:sz="0" w:val="nil"/>
          <w:right w:space="0" w:sz="0" w:val="nil"/>
          <w:between w:space="0" w:sz="0" w:val="nil"/>
        </w:pBdr>
        <w:spacing w:before="4" w:line="240" w:lineRule="auto"/>
        <w:ind w:left="142" w:hanging="142"/>
        <w:jc w:val="both"/>
        <w:rPr>
          <w:rFonts w:ascii="Calibri" w:cs="Calibri" w:eastAsia="Calibri" w:hAnsi="Calibri"/>
          <w:sz w:val="18"/>
          <w:szCs w:val="18"/>
        </w:rPr>
      </w:pPr>
      <w:bookmarkStart w:colFirst="0" w:colLast="0" w:name="_heading=h.1ksv4uv" w:id="14"/>
      <w:bookmarkEnd w:id="14"/>
      <w:r w:rsidDel="00000000" w:rsidR="00000000" w:rsidRPr="00000000">
        <w:rPr>
          <w:rFonts w:ascii="Calibri" w:cs="Calibri" w:eastAsia="Calibri" w:hAnsi="Calibri"/>
          <w:sz w:val="18"/>
          <w:szCs w:val="18"/>
          <w:rtl w:val="0"/>
        </w:rPr>
        <w:t xml:space="preserve">Набір для виділення RevoDx Pathogen DNA/RNA Purification Kit (Cat. №: IP202302; ІdilВiotech, Туреччина) або RevoDx Magnetic Pathogen DNA/RNA Purification Kit (Cat. №: IP202303; ІdilВiotech, Туреччина) або DirEXT OneStep (Cat. №: IP202319; ІdilВiotech, Туреччина)</w:t>
      </w:r>
    </w:p>
    <w:p w:rsidR="00000000" w:rsidDel="00000000" w:rsidP="00000000" w:rsidRDefault="00000000" w:rsidRPr="00000000" w14:paraId="0000014F">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Ампліфікатор для ПЛР у режимі реального часу</w:t>
      </w:r>
    </w:p>
    <w:p w:rsidR="00000000" w:rsidDel="00000000" w:rsidP="00000000" w:rsidRDefault="00000000" w:rsidRPr="00000000" w14:paraId="00000150">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Відповідні засоби індивідуального захисту (халат, рукавички, окуляри) </w:t>
      </w:r>
    </w:p>
    <w:p w:rsidR="00000000" w:rsidDel="00000000" w:rsidP="00000000" w:rsidRDefault="00000000" w:rsidRPr="00000000" w14:paraId="00000151">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Мікропіпетки (0.5 мкл – 1000 мкл)</w:t>
      </w:r>
    </w:p>
    <w:p w:rsidR="00000000" w:rsidDel="00000000" w:rsidP="00000000" w:rsidRDefault="00000000" w:rsidRPr="00000000" w14:paraId="00000152">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Наконечники для дозаторів з аерозольним фільтром та маркуванням DNase/RNase-free </w:t>
      </w:r>
    </w:p>
    <w:p w:rsidR="00000000" w:rsidDel="00000000" w:rsidP="00000000" w:rsidRDefault="00000000" w:rsidRPr="00000000" w14:paraId="00000153">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Мікропробірки 1,5 мл з маркуванням DNase/RNase-free </w:t>
      </w:r>
    </w:p>
    <w:p w:rsidR="00000000" w:rsidDel="00000000" w:rsidP="00000000" w:rsidRDefault="00000000" w:rsidRPr="00000000" w14:paraId="00000154">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Вихровий змішувач (вортекс) </w:t>
      </w:r>
    </w:p>
    <w:p w:rsidR="00000000" w:rsidDel="00000000" w:rsidP="00000000" w:rsidRDefault="00000000" w:rsidRPr="00000000" w14:paraId="00000155">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Настільна мікроцентрифуга для ПЛР-планшетів/стрип-пробірок </w:t>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Настільна мікроцентрифуга для пробірок об'ємом 1,5-2,0 мл </w:t>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spacing w:before="2" w:line="240" w:lineRule="auto"/>
        <w:ind w:left="142" w:hanging="143"/>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Пробірки або планшети для ПЛР у реальному часі.</w:t>
      </w:r>
    </w:p>
    <w:p w:rsidR="00000000" w:rsidDel="00000000" w:rsidP="00000000" w:rsidRDefault="00000000" w:rsidRPr="00000000" w14:paraId="00000158">
      <w:pPr>
        <w:spacing w:line="240" w:lineRule="auto"/>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159">
      <w:pPr>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Підготовка зразків</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6"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валідований для використання зі зразками сечі, урогенітальниими мазками або мазками з шийки матки. Крім того, всі зразки нуклеїнових кислот, які підходять для аналізів методом ПЛР, можна використовувати з набором RevoDx STI-6 Pathogen Detection Kit. Клінічні зразки слід розглядати як потенційно інфекційні; під час забору та обробки зразків необхідно дотримуватись запобіжних заходів</w:t>
      </w:r>
    </w:p>
    <w:p w:rsidR="00000000" w:rsidDel="00000000" w:rsidP="00000000" w:rsidRDefault="00000000" w:rsidRPr="00000000" w14:paraId="0000015B">
      <w:pPr>
        <w:widowControl w:val="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Клініцисти (а також фельдшери, медсестри, лікарі та спеціалісти, пов’язані з медициною) несуть відповідальність за використання правильної процедури під час збору та безпечного транспортування зразків до лабораторії. Достовірність результатів тестування значною мірою залежить від належної практики на преаналітичному етапі, що також передбачає точне і повне документування.</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3"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Після збору не зберігайте зразки при кімнатній температурі довше 4 годин. Транспортування зразків повинно відповідати національним або місцевим правилам.</w:t>
      </w:r>
    </w:p>
    <w:p w:rsidR="00000000" w:rsidDel="00000000" w:rsidP="00000000" w:rsidRDefault="00000000" w:rsidRPr="00000000" w14:paraId="0000015D">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E">
      <w:pPr>
        <w:spacing w:before="72"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Протокол</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115" w:line="240"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Виділення ДНК: </w:t>
      </w:r>
      <w:r w:rsidDel="00000000" w:rsidR="00000000" w:rsidRPr="00000000">
        <w:rPr>
          <w:rFonts w:ascii="Calibri" w:cs="Calibri" w:eastAsia="Calibri" w:hAnsi="Calibri"/>
          <w:sz w:val="18"/>
          <w:szCs w:val="18"/>
          <w:rtl w:val="0"/>
        </w:rPr>
        <w:t xml:space="preserve">Для виділення ДНК збудника із зразків сечі, урогенітальних мазків або мазків з шийки матки слід використовувати набір RevoDx Pathogen DNA/RNA Purification Kit або RevoDx Magnetic Pathogen DNA/RNA Purification Kit, або реагент DirEXT OneStep Pathogen DNA/RNA Extraction Reagent. Використання інших реагентів може негативно вплинути на характеристики набору. Будь ласка, дотримуйтесь інструкцій виробника обраного набору для виділення ДНК/РНК.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109" w:line="240" w:lineRule="auto"/>
        <w:jc w:val="both"/>
        <w:rPr>
          <w:rFonts w:ascii="Calibri" w:cs="Calibri" w:eastAsia="Calibri" w:hAnsi="Calibri"/>
          <w:sz w:val="18"/>
          <w:szCs w:val="18"/>
        </w:rPr>
      </w:pPr>
      <w:bookmarkStart w:colFirst="0" w:colLast="0" w:name="_heading=h.44sinio" w:id="15"/>
      <w:bookmarkEnd w:id="15"/>
      <w:r w:rsidDel="00000000" w:rsidR="00000000" w:rsidRPr="00000000">
        <w:rPr>
          <w:rFonts w:ascii="Calibri" w:cs="Calibri" w:eastAsia="Calibri" w:hAnsi="Calibri"/>
          <w:b w:val="1"/>
          <w:sz w:val="18"/>
          <w:szCs w:val="18"/>
          <w:rtl w:val="0"/>
        </w:rPr>
        <w:t xml:space="preserve">Внутрішній контроль: </w:t>
      </w:r>
      <w:r w:rsidDel="00000000" w:rsidR="00000000" w:rsidRPr="00000000">
        <w:rPr>
          <w:rFonts w:ascii="Calibri" w:cs="Calibri" w:eastAsia="Calibri" w:hAnsi="Calibri"/>
          <w:sz w:val="18"/>
          <w:szCs w:val="18"/>
          <w:rtl w:val="0"/>
        </w:rPr>
        <w:t xml:space="preserve">Внутрішній контроль (ВК), мішенню якого є РНКаза Р людини, потрібен для підтвердження потрапляння виділеної ДНК у реакційні пробірки. Внутрішній контроль використовується для моніторингу ефективності етапу екстракції ДНК, а також для перевірки будь-якого інгібування ПЛР.</w:t>
      </w:r>
      <w:r w:rsidDel="00000000" w:rsidR="00000000" w:rsidRPr="00000000">
        <w:rPr>
          <w:rtl w:val="0"/>
        </w:rPr>
      </w:r>
    </w:p>
    <w:p w:rsidR="00000000" w:rsidDel="00000000" w:rsidP="00000000" w:rsidRDefault="00000000" w:rsidRPr="00000000" w14:paraId="00000161">
      <w:pPr>
        <w:spacing w:before="108" w:line="240"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Позитивний контроль: </w:t>
      </w:r>
      <w:r w:rsidDel="00000000" w:rsidR="00000000" w:rsidRPr="00000000">
        <w:rPr>
          <w:rFonts w:ascii="Calibri" w:cs="Calibri" w:eastAsia="Calibri" w:hAnsi="Calibri"/>
          <w:sz w:val="18"/>
          <w:szCs w:val="18"/>
          <w:rtl w:val="0"/>
        </w:rPr>
        <w:t xml:space="preserve">Значення Ct позитивного </w:t>
      </w:r>
      <w:r w:rsidDel="00000000" w:rsidR="00000000" w:rsidRPr="00000000">
        <w:rPr>
          <w:rFonts w:ascii="Calibri" w:cs="Calibri" w:eastAsia="Calibri" w:hAnsi="Calibri"/>
          <w:sz w:val="18"/>
          <w:szCs w:val="18"/>
          <w:rtl w:val="0"/>
        </w:rPr>
        <w:t xml:space="preserve">контролю має дорівнювати 25 ± 4, інші значення вказують на наявність проблем.</w:t>
      </w:r>
    </w:p>
    <w:p w:rsidR="00000000" w:rsidDel="00000000" w:rsidP="00000000" w:rsidRDefault="00000000" w:rsidRPr="00000000" w14:paraId="00000162">
      <w:pPr>
        <w:spacing w:before="108"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Протокол ПЛР</w:t>
      </w:r>
      <w:r w:rsidDel="00000000" w:rsidR="00000000" w:rsidRPr="00000000">
        <w:rPr>
          <w:rtl w:val="0"/>
        </w:rPr>
      </w:r>
    </w:p>
    <w:p w:rsidR="00000000" w:rsidDel="00000000" w:rsidP="00000000" w:rsidRDefault="00000000" w:rsidRPr="00000000" w14:paraId="00000163">
      <w:pPr>
        <w:numPr>
          <w:ilvl w:val="0"/>
          <w:numId w:val="4"/>
        </w:numPr>
        <w:pBdr>
          <w:top w:space="0" w:sz="0" w:val="nil"/>
          <w:left w:space="0" w:sz="0" w:val="nil"/>
          <w:bottom w:space="0" w:sz="0" w:val="nil"/>
          <w:right w:space="0" w:sz="0" w:val="nil"/>
          <w:between w:space="0" w:sz="0" w:val="nil"/>
        </w:pBdr>
        <w:tabs>
          <w:tab w:val="left" w:leader="none" w:pos="429"/>
        </w:tabs>
        <w:spacing w:before="63" w:line="240" w:lineRule="auto"/>
        <w:ind w:left="0" w:firstLine="0"/>
        <w:jc w:val="both"/>
        <w:rPr>
          <w:rFonts w:ascii="Calibri" w:cs="Calibri" w:eastAsia="Calibri" w:hAnsi="Calibri"/>
          <w:sz w:val="18"/>
          <w:szCs w:val="18"/>
        </w:rPr>
      </w:pPr>
      <w:bookmarkStart w:colFirst="0" w:colLast="0" w:name="_heading=h.2jxsxqh" w:id="16"/>
      <w:bookmarkEnd w:id="16"/>
      <w:r w:rsidDel="00000000" w:rsidR="00000000" w:rsidRPr="00000000">
        <w:rPr>
          <w:rFonts w:ascii="Calibri" w:cs="Calibri" w:eastAsia="Calibri" w:hAnsi="Calibri"/>
          <w:sz w:val="18"/>
          <w:szCs w:val="18"/>
          <w:rtl w:val="0"/>
        </w:rPr>
        <w:t xml:space="preserve">Розморозьте всі компоненти при кімнатній температурі, крім STI Enzyme Mix. Покладіть суміш ферментів STI на лід. Ретельно перемішати кожен компонент, потім осадить краплі короткочасним центрифугуванням. Перенесіть усі реагенти на лід або охолоджуючий блок.</w:t>
      </w:r>
    </w:p>
    <w:p w:rsidR="00000000" w:rsidDel="00000000" w:rsidP="00000000" w:rsidRDefault="00000000" w:rsidRPr="00000000" w14:paraId="00000164">
      <w:pPr>
        <w:numPr>
          <w:ilvl w:val="0"/>
          <w:numId w:val="4"/>
        </w:numPr>
        <w:pBdr>
          <w:top w:space="0" w:sz="0" w:val="nil"/>
          <w:left w:space="0" w:sz="0" w:val="nil"/>
          <w:bottom w:space="0" w:sz="0" w:val="nil"/>
          <w:right w:space="0" w:sz="0" w:val="nil"/>
          <w:between w:space="0" w:sz="0" w:val="nil"/>
        </w:pBdr>
        <w:tabs>
          <w:tab w:val="left" w:leader="none" w:pos="410"/>
        </w:tabs>
        <w:spacing w:before="58" w:line="240" w:lineRule="auto"/>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Кінцевий об’єм реакційної суміші (Master Mix) отримується шляхом множення окремих реакційних об’ємів STI-6 MM 1-2 та STI-6 Enzyme Mix на загальну кількість зразків. При цьому враховуються досліджувані клінічні зразки та контрольні зразки (стандарти та негативний контроль). Для уникнення похибок при розкапуванні рекомендується враховувати додатковий зразок при підрахунку загальної кількості зразків. </w:t>
      </w:r>
    </w:p>
    <w:p w:rsidR="00000000" w:rsidDel="00000000" w:rsidP="00000000" w:rsidRDefault="00000000" w:rsidRPr="00000000" w14:paraId="00000165">
      <w:pPr>
        <w:numPr>
          <w:ilvl w:val="0"/>
          <w:numId w:val="4"/>
        </w:numPr>
        <w:pBdr>
          <w:top w:space="0" w:sz="0" w:val="nil"/>
          <w:left w:space="0" w:sz="0" w:val="nil"/>
          <w:bottom w:space="0" w:sz="0" w:val="nil"/>
          <w:right w:space="0" w:sz="0" w:val="nil"/>
          <w:between w:space="0" w:sz="0" w:val="nil"/>
        </w:pBdr>
        <w:tabs>
          <w:tab w:val="left" w:leader="none" w:pos="410"/>
        </w:tabs>
        <w:spacing w:before="58" w:line="240" w:lineRule="auto"/>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Підготуйте дві пробірки 1,5 мл для кожної з реакційних сумішей STI-6 MM 1-2. Для приготування кожної майстер-суміші додайте 14 мкл STI-6 MM і 1 мкл STI-6 Enzyme Mix для кожного зразка у підготовлені пробірки. Після приготування майстер-міксів обережно перемішати суміш піпетуванням або на вортексі та осадити краплі короткочасним центрифугуванням. Внести по 15 мкл кожної приготованої суміші у пробірки/планшет для ПЛР. Для кожного клінічного зразка слід використовувати 2 лунки (з різними сумішами 1 та 2). Після внесення майстер-міксів у лунки додайте по 5 мкл екстрагованої ДНК у кожну лунку, як показано на малюнку нижче. Внести по 5 мкл позитивного та негативного контролів у відповідні пробірки. Закрити кришки чи заклеїти планшет та осадити краплі центрифугуванням.</w:t>
      </w:r>
    </w:p>
    <w:p w:rsidR="00000000" w:rsidDel="00000000" w:rsidP="00000000" w:rsidRDefault="00000000" w:rsidRPr="00000000" w14:paraId="00000166">
      <w:pPr>
        <w:numPr>
          <w:ilvl w:val="0"/>
          <w:numId w:val="4"/>
        </w:numPr>
        <w:pBdr>
          <w:top w:space="0" w:sz="0" w:val="nil"/>
          <w:left w:space="0" w:sz="0" w:val="nil"/>
          <w:bottom w:space="0" w:sz="0" w:val="nil"/>
          <w:right w:space="0" w:sz="0" w:val="nil"/>
          <w:between w:space="0" w:sz="0" w:val="nil"/>
        </w:pBdr>
        <w:tabs>
          <w:tab w:val="left" w:leader="none" w:pos="410"/>
        </w:tabs>
        <w:spacing w:before="58" w:line="240" w:lineRule="auto"/>
        <w:ind w:left="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Повторіть крок 3 для кожного екстрагованого зразка, негативного та позитивного контролю.</w:t>
      </w:r>
    </w:p>
    <w:p w:rsidR="00000000" w:rsidDel="00000000" w:rsidP="00000000" w:rsidRDefault="00000000" w:rsidRPr="00000000" w14:paraId="00000167">
      <w:pPr>
        <w:spacing w:before="60"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Pr>
        <w:drawing>
          <wp:inline distB="0" distT="0" distL="0" distR="0">
            <wp:extent cx="1245937" cy="1440000"/>
            <wp:effectExtent b="0" l="0" r="0" t="0"/>
            <wp:docPr id="118488826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45937" cy="1440000"/>
                    </a:xfrm>
                    <a:prstGeom prst="rect"/>
                    <a:ln/>
                  </pic:spPr>
                </pic:pic>
              </a:graphicData>
            </a:graphic>
          </wp:inline>
        </w:drawing>
      </w:r>
      <w:r w:rsidDel="00000000" w:rsidR="00000000" w:rsidRPr="00000000">
        <w:rPr>
          <w:rFonts w:ascii="Calibri" w:cs="Calibri" w:eastAsia="Calibri" w:hAnsi="Calibri"/>
          <w:sz w:val="16"/>
          <w:szCs w:val="16"/>
        </w:rPr>
        <w:drawing>
          <wp:inline distB="0" distT="0" distL="0" distR="0">
            <wp:extent cx="1243373" cy="1440000"/>
            <wp:effectExtent b="0" l="0" r="0" t="0"/>
            <wp:docPr id="118488826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243373" cy="1440000"/>
                    </a:xfrm>
                    <a:prstGeom prst="rect"/>
                    <a:ln/>
                  </pic:spPr>
                </pic:pic>
              </a:graphicData>
            </a:graphic>
          </wp:inline>
        </w:drawing>
      </w:r>
      <w:r w:rsidDel="00000000" w:rsidR="00000000" w:rsidRPr="00000000">
        <w:rPr>
          <w:rFonts w:ascii="Calibri" w:cs="Calibri" w:eastAsia="Calibri" w:hAnsi="Calibri"/>
          <w:sz w:val="16"/>
          <w:szCs w:val="16"/>
        </w:rPr>
        <w:drawing>
          <wp:inline distB="0" distT="0" distL="0" distR="0">
            <wp:extent cx="1239805" cy="1440000"/>
            <wp:effectExtent b="0" l="0" r="0" t="0"/>
            <wp:docPr id="118488826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239805"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numPr>
          <w:ilvl w:val="0"/>
          <w:numId w:val="4"/>
        </w:numPr>
        <w:spacing w:before="60" w:line="240" w:lineRule="auto"/>
        <w:ind w:left="236" w:hanging="191"/>
        <w:jc w:val="both"/>
        <w:rPr>
          <w:rFonts w:ascii="Calibri" w:cs="Calibri" w:eastAsia="Calibri" w:hAnsi="Calibri"/>
        </w:rPr>
      </w:pPr>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sz w:val="18"/>
          <w:szCs w:val="18"/>
          <w:rtl w:val="0"/>
        </w:rPr>
        <w:t xml:space="preserve">Запрограмуйте прилад для ампліфікації згідно протоколу, наведеного у таблиці 1. Вказати об’єм зразка 20 мкл.</w:t>
      </w:r>
    </w:p>
    <w:p w:rsidR="00000000" w:rsidDel="00000000" w:rsidP="00000000" w:rsidRDefault="00000000" w:rsidRPr="00000000" w14:paraId="00000169">
      <w:pPr>
        <w:spacing w:line="240" w:lineRule="auto"/>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16A">
      <w:pPr>
        <w:spacing w:line="240"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Таблиця 4:</w:t>
      </w:r>
      <w:r w:rsidDel="00000000" w:rsidR="00000000" w:rsidRPr="00000000">
        <w:rPr>
          <w:rFonts w:ascii="Calibri" w:cs="Calibri" w:eastAsia="Calibri" w:hAnsi="Calibri"/>
          <w:sz w:val="18"/>
          <w:szCs w:val="18"/>
          <w:rtl w:val="0"/>
        </w:rPr>
        <w:t xml:space="preserve"> Програма ампліфікації</w:t>
      </w:r>
    </w:p>
    <w:tbl>
      <w:tblPr>
        <w:tblStyle w:val="Table6"/>
        <w:tblW w:w="5246.999999999999" w:type="dxa"/>
        <w:jc w:val="center"/>
        <w:tblLayout w:type="fixed"/>
        <w:tblLook w:val="0000"/>
      </w:tblPr>
      <w:tblGrid>
        <w:gridCol w:w="1410"/>
        <w:gridCol w:w="1455"/>
        <w:gridCol w:w="1275"/>
        <w:gridCol w:w="1106.9999999999993"/>
        <w:tblGridChange w:id="0">
          <w:tblGrid>
            <w:gridCol w:w="1410"/>
            <w:gridCol w:w="1455"/>
            <w:gridCol w:w="1275"/>
            <w:gridCol w:w="1106.9999999999993"/>
          </w:tblGrid>
        </w:tblGridChange>
      </w:tblGrid>
      <w:tr>
        <w:trPr>
          <w:cantSplit w:val="0"/>
          <w:trHeight w:val="322.834394904458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B">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Назва етапу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C">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Кількість циклів</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D">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Температура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Час</w:t>
            </w:r>
          </w:p>
        </w:tc>
      </w:tr>
      <w:tr>
        <w:trPr>
          <w:cantSplit w:val="0"/>
          <w:trHeight w:val="630.535927547770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6F">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Активація полімерази</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95ºC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хв</w:t>
            </w:r>
          </w:p>
        </w:tc>
      </w:tr>
      <w:tr>
        <w:trPr>
          <w:cantSplit w:val="0"/>
          <w:trHeight w:val="315.2679637738853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3">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Ампліфікація</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5">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95ºC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 сек</w:t>
            </w:r>
          </w:p>
        </w:tc>
      </w:tr>
      <w:tr>
        <w:trPr>
          <w:cantSplit w:val="0"/>
          <w:trHeight w:val="315.2679637738853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79">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60ºC*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сек</w:t>
            </w:r>
          </w:p>
        </w:tc>
      </w:tr>
    </w:tbl>
    <w:p w:rsidR="00000000" w:rsidDel="00000000" w:rsidP="00000000" w:rsidRDefault="00000000" w:rsidRPr="00000000" w14:paraId="0000017B">
      <w:pPr>
        <w:spacing w:line="240" w:lineRule="auto"/>
        <w:rPr>
          <w:rFonts w:ascii="Calibri" w:cs="Calibri" w:eastAsia="Calibri" w:hAnsi="Calibri"/>
          <w:b w:val="1"/>
          <w:sz w:val="18"/>
          <w:szCs w:val="18"/>
        </w:rPr>
      </w:pPr>
      <w:bookmarkStart w:colFirst="0" w:colLast="0" w:name="_heading=h.z337ya" w:id="17"/>
      <w:bookmarkEnd w:id="17"/>
      <w:r w:rsidDel="00000000" w:rsidR="00000000" w:rsidRPr="00000000">
        <w:rPr>
          <w:rFonts w:ascii="Calibri" w:cs="Calibri" w:eastAsia="Calibri" w:hAnsi="Calibri"/>
          <w:b w:val="1"/>
          <w:sz w:val="18"/>
          <w:szCs w:val="18"/>
          <w:rtl w:val="0"/>
        </w:rPr>
        <w:t xml:space="preserve">* Детекція флуоресценції при 60°C за каналами FAM, HEX, ROX та Cy 5</w:t>
      </w:r>
    </w:p>
    <w:p w:rsidR="00000000" w:rsidDel="00000000" w:rsidP="00000000" w:rsidRDefault="00000000" w:rsidRPr="00000000" w14:paraId="0000017C">
      <w:pPr>
        <w:numPr>
          <w:ilvl w:val="0"/>
          <w:numId w:val="4"/>
        </w:numPr>
        <w:spacing w:after="0" w:afterAutospacing="0" w:before="60" w:line="240" w:lineRule="auto"/>
        <w:ind w:left="236" w:hanging="191"/>
        <w:jc w:val="both"/>
        <w:rPr>
          <w:rFonts w:ascii="Calibri" w:cs="Calibri" w:eastAsia="Calibri" w:hAnsi="Calibri"/>
          <w:sz w:val="18"/>
          <w:szCs w:val="18"/>
        </w:rPr>
      </w:pPr>
      <w:bookmarkStart w:colFirst="0" w:colLast="0" w:name="_heading=h.3j2qqm3" w:id="18"/>
      <w:bookmarkEnd w:id="18"/>
      <w:r w:rsidDel="00000000" w:rsidR="00000000" w:rsidRPr="00000000">
        <w:rPr>
          <w:rFonts w:ascii="Calibri" w:cs="Calibri" w:eastAsia="Calibri" w:hAnsi="Calibri"/>
          <w:sz w:val="18"/>
          <w:szCs w:val="18"/>
          <w:rtl w:val="0"/>
        </w:rPr>
        <w:t xml:space="preserve">Обрати вимірювання рівня флуоресценції при 60°C за каналами FAM, HEX, ROX та Cy 5.</w:t>
      </w:r>
    </w:p>
    <w:p w:rsidR="00000000" w:rsidDel="00000000" w:rsidP="00000000" w:rsidRDefault="00000000" w:rsidRPr="00000000" w14:paraId="0000017D">
      <w:pPr>
        <w:numPr>
          <w:ilvl w:val="0"/>
          <w:numId w:val="4"/>
        </w:numPr>
        <w:spacing w:after="0" w:afterAutospacing="0" w:before="0" w:beforeAutospacing="0" w:line="240" w:lineRule="auto"/>
        <w:ind w:left="236" w:hanging="191"/>
        <w:jc w:val="both"/>
        <w:rPr>
          <w:rFonts w:ascii="Calibri" w:cs="Calibri" w:eastAsia="Calibri" w:hAnsi="Calibri"/>
          <w:sz w:val="18"/>
          <w:szCs w:val="18"/>
        </w:rPr>
      </w:pPr>
      <w:bookmarkStart w:colFirst="0" w:colLast="0" w:name="_heading=h.o8zt069p9pa4" w:id="19"/>
      <w:bookmarkEnd w:id="19"/>
      <w:r w:rsidDel="00000000" w:rsidR="00000000" w:rsidRPr="00000000">
        <w:rPr>
          <w:rFonts w:ascii="Calibri" w:cs="Calibri" w:eastAsia="Calibri" w:hAnsi="Calibri"/>
          <w:sz w:val="18"/>
          <w:szCs w:val="18"/>
          <w:rtl w:val="0"/>
        </w:rPr>
        <w:t xml:space="preserve">Запустити програму. </w:t>
      </w:r>
    </w:p>
    <w:p w:rsidR="00000000" w:rsidDel="00000000" w:rsidP="00000000" w:rsidRDefault="00000000" w:rsidRPr="00000000" w14:paraId="0000017E">
      <w:pPr>
        <w:numPr>
          <w:ilvl w:val="0"/>
          <w:numId w:val="4"/>
        </w:numPr>
        <w:spacing w:before="0" w:beforeAutospacing="0" w:line="240" w:lineRule="auto"/>
        <w:ind w:left="236" w:hanging="191"/>
        <w:jc w:val="both"/>
        <w:rPr>
          <w:rFonts w:ascii="Calibri" w:cs="Calibri" w:eastAsia="Calibri" w:hAnsi="Calibri"/>
          <w:sz w:val="18"/>
          <w:szCs w:val="18"/>
        </w:rPr>
      </w:pPr>
      <w:bookmarkStart w:colFirst="0" w:colLast="0" w:name="_heading=h.5lm8myitej9u" w:id="20"/>
      <w:bookmarkEnd w:id="20"/>
      <w:r w:rsidDel="00000000" w:rsidR="00000000" w:rsidRPr="00000000">
        <w:rPr>
          <w:rFonts w:ascii="Calibri" w:cs="Calibri" w:eastAsia="Calibri" w:hAnsi="Calibri"/>
          <w:sz w:val="18"/>
          <w:szCs w:val="18"/>
          <w:rtl w:val="0"/>
        </w:rPr>
        <w:t xml:space="preserve">Програмування приладу та аналіз результатів здійснювати відповідно до інструкції виробника. </w:t>
      </w:r>
    </w:p>
    <w:p w:rsidR="00000000" w:rsidDel="00000000" w:rsidP="00000000" w:rsidRDefault="00000000" w:rsidRPr="00000000" w14:paraId="0000017F">
      <w:pPr>
        <w:spacing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80">
      <w:pPr>
        <w:spacing w:before="0"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Аналіз даних</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Значення Ct для позитивного контролю повинно дорівнювати 25±4, а негативний контроль у всіх каналах повинен бути негативним. В іншому випадку експеримент слід повторити.</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0" w:line="24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1"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Результати для кожного майстер-міксу інтерпретувати наступним чином:</w:t>
      </w:r>
    </w:p>
    <w:tbl>
      <w:tblPr>
        <w:tblStyle w:val="Table7"/>
        <w:tblW w:w="78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2034.0000000000005"/>
        <w:gridCol w:w="3980.9999999999995"/>
        <w:tblGridChange w:id="0">
          <w:tblGrid>
            <w:gridCol w:w="1815"/>
            <w:gridCol w:w="2034.0000000000005"/>
            <w:gridCol w:w="3980.9999999999995"/>
          </w:tblGrid>
        </w:tblGridChange>
      </w:tblGrid>
      <w:tr>
        <w:trPr>
          <w:cantSplit w:val="0"/>
          <w:trHeight w:val="795" w:hRule="atLeast"/>
          <w:tblHeader w:val="0"/>
        </w:trPr>
        <w:tc>
          <w:tcPr>
            <w:shd w:fill="7e7e7e" w:val="clear"/>
            <w:vAlign w:val="center"/>
          </w:tcPr>
          <w:p w:rsidR="00000000" w:rsidDel="00000000" w:rsidP="00000000" w:rsidRDefault="00000000" w:rsidRPr="00000000" w14:paraId="00000184">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Сигнал по будь-якому каналу FAM / HEX / ROX (цільова ДНК)</w:t>
            </w:r>
          </w:p>
        </w:tc>
        <w:tc>
          <w:tcPr>
            <w:shd w:fill="7e7e7e" w:val="clear"/>
            <w:vAlign w:val="center"/>
          </w:tcPr>
          <w:p w:rsidR="00000000" w:rsidDel="00000000" w:rsidP="00000000" w:rsidRDefault="00000000" w:rsidRPr="00000000" w14:paraId="00000185">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Сигнал по каналу</w:t>
            </w:r>
          </w:p>
          <w:p w:rsidR="00000000" w:rsidDel="00000000" w:rsidP="00000000" w:rsidRDefault="00000000" w:rsidRPr="00000000" w14:paraId="00000186">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 Cy 5 (ген РНКази Р)</w:t>
            </w:r>
          </w:p>
        </w:tc>
        <w:tc>
          <w:tcPr>
            <w:shd w:fill="7e7e7e" w:val="clear"/>
            <w:vAlign w:val="center"/>
          </w:tcPr>
          <w:p w:rsidR="00000000" w:rsidDel="00000000" w:rsidP="00000000" w:rsidRDefault="00000000" w:rsidRPr="00000000" w14:paraId="0000018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Інтерпретація</w:t>
            </w:r>
          </w:p>
        </w:tc>
      </w:tr>
      <w:tr>
        <w:trPr>
          <w:cantSplit w:val="0"/>
          <w:trHeight w:val="281.6015625" w:hRule="atLeast"/>
          <w:tblHeader w:val="0"/>
        </w:trPr>
        <w:tc>
          <w:tcPr>
            <w:vAlign w:val="center"/>
          </w:tcPr>
          <w:p w:rsidR="00000000" w:rsidDel="00000000" w:rsidP="00000000" w:rsidRDefault="00000000" w:rsidRPr="00000000" w14:paraId="0000018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vAlign w:val="center"/>
          </w:tcPr>
          <w:p w:rsidR="00000000" w:rsidDel="00000000" w:rsidP="00000000" w:rsidRDefault="00000000" w:rsidRPr="00000000" w14:paraId="0000018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vAlign w:val="center"/>
          </w:tcPr>
          <w:p w:rsidR="00000000" w:rsidDel="00000000" w:rsidP="00000000" w:rsidRDefault="00000000" w:rsidRPr="00000000" w14:paraId="0000018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Позитивний на специфічний збудник</w:t>
            </w:r>
          </w:p>
        </w:tc>
      </w:tr>
      <w:tr>
        <w:trPr>
          <w:cantSplit w:val="0"/>
          <w:trHeight w:val="281.6015625" w:hRule="atLeast"/>
          <w:tblHeader w:val="0"/>
        </w:trPr>
        <w:tc>
          <w:tcPr>
            <w:vAlign w:val="center"/>
          </w:tcPr>
          <w:p w:rsidR="00000000" w:rsidDel="00000000" w:rsidP="00000000" w:rsidRDefault="00000000" w:rsidRPr="00000000" w14:paraId="0000018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vAlign w:val="center"/>
          </w:tcPr>
          <w:p w:rsidR="00000000" w:rsidDel="00000000" w:rsidP="00000000" w:rsidRDefault="00000000" w:rsidRPr="00000000" w14:paraId="0000018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vAlign w:val="center"/>
          </w:tcPr>
          <w:p w:rsidR="00000000" w:rsidDel="00000000" w:rsidP="00000000" w:rsidRDefault="00000000" w:rsidRPr="00000000" w14:paraId="0000018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Результат валідний. Збудник не виявлено</w:t>
            </w:r>
          </w:p>
        </w:tc>
      </w:tr>
      <w:tr>
        <w:trPr>
          <w:cantSplit w:val="0"/>
          <w:trHeight w:val="563.203125" w:hRule="atLeast"/>
          <w:tblHeader w:val="0"/>
        </w:trPr>
        <w:tc>
          <w:tcPr>
            <w:vAlign w:val="center"/>
          </w:tcPr>
          <w:p w:rsidR="00000000" w:rsidDel="00000000" w:rsidP="00000000" w:rsidRDefault="00000000" w:rsidRPr="00000000" w14:paraId="0000018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vAlign w:val="center"/>
          </w:tcPr>
          <w:p w:rsidR="00000000" w:rsidDel="00000000" w:rsidP="00000000" w:rsidRDefault="00000000" w:rsidRPr="00000000" w14:paraId="0000018F">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vAlign w:val="center"/>
          </w:tcPr>
          <w:p w:rsidR="00000000" w:rsidDel="00000000" w:rsidP="00000000" w:rsidRDefault="00000000" w:rsidRPr="00000000" w14:paraId="0000019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Невалідний результат. Зразок слід повторно протестувати для цього майстер-міксу</w:t>
            </w:r>
          </w:p>
        </w:tc>
      </w:tr>
    </w:tbl>
    <w:p w:rsidR="00000000" w:rsidDel="00000000" w:rsidP="00000000" w:rsidRDefault="00000000" w:rsidRPr="00000000" w14:paraId="00000191">
      <w:pP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40" w:lineRule="auto"/>
        <w:jc w:val="both"/>
        <w:rPr>
          <w:rFonts w:ascii="Calibri" w:cs="Calibri" w:eastAsia="Calibri" w:hAnsi="Calibri"/>
          <w:sz w:val="18"/>
          <w:szCs w:val="18"/>
        </w:rPr>
      </w:pPr>
      <w:bookmarkStart w:colFirst="0" w:colLast="0" w:name="_heading=h.4i7ojhp" w:id="21"/>
      <w:bookmarkEnd w:id="21"/>
      <w:r w:rsidDel="00000000" w:rsidR="00000000" w:rsidRPr="00000000">
        <w:rPr>
          <w:rFonts w:ascii="Calibri" w:cs="Calibri" w:eastAsia="Calibri" w:hAnsi="Calibri"/>
          <w:sz w:val="18"/>
          <w:szCs w:val="18"/>
          <w:rtl w:val="0"/>
        </w:rPr>
        <w:t xml:space="preserve">Для кожного майстер-міксу в наступній таблиці наведено канали барвника для відповідного цільового організму/цільового гена:</w:t>
      </w:r>
    </w:p>
    <w:tbl>
      <w:tblPr>
        <w:tblStyle w:val="Table8"/>
        <w:tblW w:w="584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2625"/>
        <w:gridCol w:w="1625.9999999999995"/>
        <w:tblGridChange w:id="0">
          <w:tblGrid>
            <w:gridCol w:w="1590"/>
            <w:gridCol w:w="2625"/>
            <w:gridCol w:w="1625.9999999999995"/>
          </w:tblGrid>
        </w:tblGridChange>
      </w:tblGrid>
      <w:tr>
        <w:trPr>
          <w:cantSplit w:val="0"/>
          <w:tblHeader w:val="0"/>
        </w:trPr>
        <w:tc>
          <w:tcPr>
            <w:tcBorders>
              <w:bottom w:color="000000" w:space="0" w:sz="24" w:val="single"/>
            </w:tcBorders>
            <w:shd w:fill="7f7f7f" w:val="clear"/>
          </w:tcPr>
          <w:p w:rsidR="00000000" w:rsidDel="00000000" w:rsidP="00000000" w:rsidRDefault="00000000" w:rsidRPr="00000000" w14:paraId="00000193">
            <w:pPr>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Пробірка №</w:t>
            </w:r>
          </w:p>
        </w:tc>
        <w:tc>
          <w:tcPr>
            <w:tcBorders>
              <w:bottom w:color="000000" w:space="0" w:sz="24" w:val="single"/>
            </w:tcBorders>
            <w:shd w:fill="7f7f7f" w:val="clear"/>
          </w:tcPr>
          <w:p w:rsidR="00000000" w:rsidDel="00000000" w:rsidP="00000000" w:rsidRDefault="00000000" w:rsidRPr="00000000" w14:paraId="00000194">
            <w:pPr>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Цільовий організм</w:t>
            </w:r>
          </w:p>
        </w:tc>
        <w:tc>
          <w:tcPr>
            <w:tcBorders>
              <w:bottom w:color="000000" w:space="0" w:sz="24" w:val="single"/>
              <w:right w:color="000000" w:space="0" w:sz="4" w:val="single"/>
            </w:tcBorders>
            <w:shd w:fill="7f7f7f" w:val="clear"/>
          </w:tcPr>
          <w:p w:rsidR="00000000" w:rsidDel="00000000" w:rsidP="00000000" w:rsidRDefault="00000000" w:rsidRPr="00000000" w14:paraId="00000195">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Канал детекції</w:t>
            </w:r>
          </w:p>
        </w:tc>
      </w:tr>
      <w:tr>
        <w:trPr>
          <w:cantSplit w:val="0"/>
          <w:tblHeader w:val="0"/>
        </w:trPr>
        <w:tc>
          <w:tcPr>
            <w:vMerge w:val="restart"/>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96">
            <w:pPr>
              <w:spacing w:line="240" w:lineRule="auto"/>
              <w:ind w:left="113" w:right="113" w:firstLine="0"/>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ІПСШ-6 MM 1</w:t>
            </w:r>
            <w:r w:rsidDel="00000000" w:rsidR="00000000" w:rsidRPr="00000000">
              <w:rPr>
                <w:rtl w:val="0"/>
              </w:rPr>
            </w:r>
          </w:p>
        </w:tc>
        <w:tc>
          <w:tcPr>
            <w:tcBorders>
              <w:top w:color="000000" w:space="0" w:sz="24"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97">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Chlamydia trachomatis</w:t>
            </w:r>
          </w:p>
        </w:tc>
        <w:tc>
          <w:tcPr>
            <w:tcBorders>
              <w:top w:color="000000" w:space="0" w:sz="24"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98">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FAM</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9A">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Streptococcus agalactiae</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9B">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9D">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Mycoplasma hominis</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9E">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A0">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Внутрішній контроль</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A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Cy 5</w:t>
            </w:r>
          </w:p>
        </w:tc>
      </w:tr>
      <w:tr>
        <w:trPr>
          <w:cantSplit w:val="0"/>
          <w:tblHeader w:val="0"/>
        </w:trPr>
        <w:tc>
          <w:tcPr>
            <w:vMerge w:val="restart"/>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2">
            <w:pPr>
              <w:spacing w:line="240" w:lineRule="auto"/>
              <w:ind w:left="113" w:right="113"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ІПСШ -6 MM 2</w:t>
            </w:r>
          </w:p>
        </w:tc>
        <w:tc>
          <w:tcPr>
            <w:tcBorders>
              <w:top w:color="000000" w:space="0" w:sz="24"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A3">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Trichomonas vaginalis</w:t>
            </w:r>
          </w:p>
        </w:tc>
        <w:tc>
          <w:tcPr>
            <w:tcBorders>
              <w:top w:color="000000" w:space="0" w:sz="24"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A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FAM</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A6">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Mycoplasma genitalium</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A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A9">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Ureaplasma urealyticum</w:t>
            </w:r>
          </w:p>
        </w:tc>
        <w:tc>
          <w:tcPr>
            <w:tcBorders>
              <w:top w:color="000000" w:space="0" w:sz="8" w:val="single"/>
              <w:left w:color="000000" w:space="0" w:sz="8" w:val="single"/>
              <w:bottom w:color="000000" w:space="0" w:sz="8" w:val="single"/>
              <w:right w:color="000000" w:space="0" w:sz="24" w:val="single"/>
            </w:tcBorders>
            <w:shd w:fill="auto" w:val="clear"/>
          </w:tcPr>
          <w:p w:rsidR="00000000" w:rsidDel="00000000" w:rsidP="00000000" w:rsidRDefault="00000000" w:rsidRPr="00000000" w14:paraId="000001A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ROX</w:t>
            </w:r>
          </w:p>
        </w:tc>
      </w:tr>
      <w:tr>
        <w:trPr>
          <w:cantSplit w:val="0"/>
          <w:tblHeader w:val="0"/>
        </w:trPr>
        <w:tc>
          <w:tcPr>
            <w:vMerge w:val="continue"/>
            <w:tcBorders>
              <w:top w:color="000000" w:space="0" w:sz="24" w:val="single"/>
              <w:left w:color="000000" w:space="0" w:sz="24" w:val="single"/>
              <w:bottom w:color="000000" w:space="0" w:sz="8" w:val="single"/>
              <w:right w:color="000000" w:space="0" w:sz="8" w:val="single"/>
            </w:tcBorders>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auto" w:val="clear"/>
          </w:tcPr>
          <w:p w:rsidR="00000000" w:rsidDel="00000000" w:rsidP="00000000" w:rsidRDefault="00000000" w:rsidRPr="00000000" w14:paraId="000001AC">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Внутрішній контроль</w:t>
            </w:r>
          </w:p>
        </w:tc>
        <w:tc>
          <w:tcPr>
            <w:tcBorders>
              <w:top w:color="000000" w:space="0" w:sz="8" w:val="single"/>
              <w:left w:color="000000" w:space="0" w:sz="8" w:val="single"/>
              <w:bottom w:color="000000" w:space="0" w:sz="18" w:val="single"/>
              <w:right w:color="000000" w:space="0" w:sz="24" w:val="single"/>
            </w:tcBorders>
            <w:shd w:fill="auto" w:val="clear"/>
          </w:tcPr>
          <w:p w:rsidR="00000000" w:rsidDel="00000000" w:rsidP="00000000" w:rsidRDefault="00000000" w:rsidRPr="00000000" w14:paraId="000001AD">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Cy 5</w:t>
            </w:r>
          </w:p>
        </w:tc>
      </w:tr>
    </w:tbl>
    <w:p w:rsidR="00000000" w:rsidDel="00000000" w:rsidP="00000000" w:rsidRDefault="00000000" w:rsidRPr="00000000" w14:paraId="000001AE">
      <w:pPr>
        <w:spacing w:before="73" w:line="240" w:lineRule="auto"/>
        <w:ind w:left="236"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AF">
      <w:pPr>
        <w:spacing w:before="73" w:line="240" w:lineRule="auto"/>
        <w:ind w:left="236" w:firstLine="0"/>
        <w:jc w:val="both"/>
        <w:rPr>
          <w:rFonts w:ascii="Calibri" w:cs="Calibri" w:eastAsia="Calibri" w:hAnsi="Calibri"/>
          <w:b w:val="1"/>
          <w:sz w:val="18"/>
          <w:szCs w:val="18"/>
        </w:rPr>
      </w:pPr>
      <w:r w:rsidDel="00000000" w:rsidR="00000000" w:rsidRPr="00000000">
        <w:rPr>
          <w:rFonts w:ascii="Calibri" w:cs="Calibri" w:eastAsia="Calibri" w:hAnsi="Calibri"/>
          <w:b w:val="1"/>
          <w:sz w:val="20"/>
          <w:szCs w:val="20"/>
          <w:rtl w:val="0"/>
        </w:rPr>
        <w:t xml:space="preserve">Інформація для замовлення</w:t>
      </w:r>
      <w:r w:rsidDel="00000000" w:rsidR="00000000" w:rsidRPr="00000000">
        <w:rPr>
          <w:rtl w:val="0"/>
        </w:rPr>
      </w:r>
    </w:p>
    <w:tbl>
      <w:tblPr>
        <w:tblStyle w:val="Table9"/>
        <w:tblW w:w="84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1365"/>
        <w:gridCol w:w="2745"/>
        <w:tblGridChange w:id="0">
          <w:tblGrid>
            <w:gridCol w:w="4305"/>
            <w:gridCol w:w="1365"/>
            <w:gridCol w:w="2745"/>
          </w:tblGrid>
        </w:tblGridChange>
      </w:tblGrid>
      <w:tr>
        <w:trPr>
          <w:cantSplit w:val="0"/>
          <w:trHeight w:val="184" w:hRule="atLeast"/>
          <w:tblHeader w:val="0"/>
        </w:trPr>
        <w:tc>
          <w:tcPr>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40" w:lineRule="auto"/>
              <w:ind w:left="107"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Назва продукту</w:t>
            </w:r>
          </w:p>
        </w:tc>
        <w:tc>
          <w:tcPr>
            <w:vAlign w:val="cente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40" w:lineRule="auto"/>
              <w:ind w:left="109"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Фасування</w:t>
            </w:r>
          </w:p>
        </w:tc>
        <w:tc>
          <w:tcPr>
            <w:vAlign w:val="cente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40" w:lineRule="auto"/>
              <w:ind w:left="106"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Каталожний номер</w:t>
            </w:r>
          </w:p>
        </w:tc>
      </w:tr>
      <w:tr>
        <w:trPr>
          <w:cantSplit w:val="0"/>
          <w:trHeight w:val="203" w:hRule="atLeast"/>
          <w:tblHeader w:val="0"/>
        </w:trPr>
        <w:tc>
          <w:tcPr>
            <w:tcBorders>
              <w:left w:color="000000" w:space="0" w:sz="4" w:val="single"/>
            </w:tcBorders>
            <w:vAlign w:val="cente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40" w:lineRule="auto"/>
              <w:ind w:left="11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для виявлення патогенів RevoDx STI-6</w:t>
            </w:r>
          </w:p>
        </w:tc>
        <w:tc>
          <w:tcPr>
            <w:vAlign w:val="center"/>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before="18" w:line="240" w:lineRule="auto"/>
              <w:ind w:right="154"/>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 тести</w:t>
            </w:r>
          </w:p>
        </w:tc>
        <w:tc>
          <w:tcPr>
            <w:tcBorders>
              <w:right w:color="000000" w:space="0" w:sz="4" w:val="single"/>
            </w:tcBorders>
            <w:vAlign w:val="cente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18" w:line="240" w:lineRule="auto"/>
              <w:ind w:left="212"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IP202424-24</w:t>
            </w:r>
          </w:p>
        </w:tc>
      </w:tr>
      <w:tr>
        <w:trPr>
          <w:cantSplit w:val="0"/>
          <w:trHeight w:val="205" w:hRule="atLeast"/>
          <w:tblHeader w:val="0"/>
        </w:trPr>
        <w:tc>
          <w:tcPr>
            <w:tcBorders>
              <w:left w:color="000000" w:space="0" w:sz="4" w:val="single"/>
            </w:tcBorders>
            <w:vAlign w:val="center"/>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40" w:lineRule="auto"/>
              <w:ind w:left="11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Набір для виявлення патогенів RevoDx STI-6</w:t>
            </w:r>
          </w:p>
        </w:tc>
        <w:tc>
          <w:tcPr>
            <w:vAlign w:val="center"/>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before="18" w:line="240" w:lineRule="auto"/>
              <w:ind w:right="125"/>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48 тестів</w:t>
            </w:r>
          </w:p>
        </w:tc>
        <w:tc>
          <w:tcPr>
            <w:tcBorders>
              <w:right w:color="000000" w:space="0" w:sz="4" w:val="single"/>
            </w:tcBorders>
            <w:vAlign w:val="center"/>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18" w:line="240" w:lineRule="auto"/>
              <w:ind w:left="212"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IP202424-48</w:t>
            </w:r>
          </w:p>
        </w:tc>
      </w:tr>
    </w:tbl>
    <w:p w:rsidR="00000000" w:rsidDel="00000000" w:rsidP="00000000" w:rsidRDefault="00000000" w:rsidRPr="00000000" w14:paraId="000001B9">
      <w:pPr>
        <w:spacing w:line="240" w:lineRule="auto"/>
        <w:rPr>
          <w:rFonts w:ascii="Calibri" w:cs="Calibri" w:eastAsia="Calibri" w:hAnsi="Calibri"/>
        </w:rPr>
      </w:pPr>
      <w:r w:rsidDel="00000000" w:rsidR="00000000" w:rsidRPr="00000000">
        <w:rPr>
          <w:rtl w:val="0"/>
        </w:rPr>
      </w:r>
    </w:p>
    <w:sectPr>
      <w:footerReference r:id="rId14" w:type="default"/>
      <w:pgSz w:h="16840" w:w="11910" w:orient="portrait"/>
      <w:pgMar w:bottom="1400" w:top="1320" w:left="1300" w:right="1300" w:header="0" w:footer="12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1184888256" name=""/>
              <a:graphic>
                <a:graphicData uri="http://schemas.microsoft.com/office/word/2010/wordprocessingShape">
                  <wps:wsp>
                    <wps:cNvSpPr/>
                    <wps:cNvPr id="2" name="Shape 2"/>
                    <wps:spPr>
                      <a:xfrm>
                        <a:off x="611054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118488825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4546600</wp:posOffset>
              </wp:positionH>
              <wp:positionV relativeFrom="paragraph">
                <wp:posOffset>9918700</wp:posOffset>
              </wp:positionV>
              <wp:extent cx="1807845" cy="233045"/>
              <wp:effectExtent b="0" l="0" r="0" t="0"/>
              <wp:wrapNone/>
              <wp:docPr id="1184888257" name=""/>
              <a:graphic>
                <a:graphicData uri="http://schemas.microsoft.com/office/word/2010/wordprocessingShape">
                  <wps:wsp>
                    <wps:cNvSpPr/>
                    <wps:cNvPr id="3" name="Shape 3"/>
                    <wps:spPr>
                      <a:xfrm>
                        <a:off x="5272340" y="3668240"/>
                        <a:ext cx="1798320" cy="223520"/>
                      </a:xfrm>
                      <a:custGeom>
                        <a:rect b="b" l="l" r="r" t="t"/>
                        <a:pathLst>
                          <a:path extrusionOk="0" h="223520" w="1798320">
                            <a:moveTo>
                              <a:pt x="0" y="0"/>
                            </a:moveTo>
                            <a:lnTo>
                              <a:pt x="0" y="223520"/>
                            </a:lnTo>
                            <a:lnTo>
                              <a:pt x="1798320" y="223520"/>
                            </a:lnTo>
                            <a:lnTo>
                              <a:pt x="1798320" y="0"/>
                            </a:lnTo>
                            <a:close/>
                          </a:path>
                        </a:pathLst>
                      </a:custGeom>
                      <a:noFill/>
                      <a:ln>
                        <a:noFill/>
                      </a:ln>
                    </wps:spPr>
                    <wps:txbx>
                      <w:txbxContent>
                        <w:p w:rsidR="00000000" w:rsidDel="00000000" w:rsidP="00000000" w:rsidRDefault="00000000" w:rsidRPr="00000000">
                          <w:pPr>
                            <w:spacing w:after="0" w:before="0" w:line="180"/>
                            <w:ind w:left="282.99999237060547"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KK202424/ -</w:t>
                          </w:r>
                        </w:p>
                        <w:p w:rsidR="00000000" w:rsidDel="00000000" w:rsidP="00000000" w:rsidRDefault="00000000" w:rsidRPr="00000000">
                          <w:pPr>
                            <w:spacing w:after="0" w:before="2.0000000298023224" w:line="240"/>
                            <w:ind w:left="0"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Дата перегляду : 12.01.2022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4546600</wp:posOffset>
              </wp:positionH>
              <wp:positionV relativeFrom="paragraph">
                <wp:posOffset>9918700</wp:posOffset>
              </wp:positionV>
              <wp:extent cx="1807845" cy="233045"/>
              <wp:effectExtent b="0" l="0" r="0" t="0"/>
              <wp:wrapNone/>
              <wp:docPr id="118488825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80784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410335" cy="339725"/>
              <wp:effectExtent b="0" l="0" r="0" t="0"/>
              <wp:wrapNone/>
              <wp:docPr id="1184888260" name=""/>
              <a:graphic>
                <a:graphicData uri="http://schemas.microsoft.com/office/word/2010/wordprocessingShape">
                  <wps:wsp>
                    <wps:cNvSpPr/>
                    <wps:cNvPr id="14" name="Shape 14"/>
                    <wps:spPr>
                      <a:xfrm>
                        <a:off x="5471095" y="3614900"/>
                        <a:ext cx="1400810" cy="330200"/>
                      </a:xfrm>
                      <a:custGeom>
                        <a:rect b="b" l="l" r="r" t="t"/>
                        <a:pathLst>
                          <a:path extrusionOk="0" h="330200" w="1400810">
                            <a:moveTo>
                              <a:pt x="0" y="0"/>
                            </a:moveTo>
                            <a:lnTo>
                              <a:pt x="0" y="330200"/>
                            </a:lnTo>
                            <a:lnTo>
                              <a:pt x="1400810" y="330200"/>
                            </a:lnTo>
                            <a:lnTo>
                              <a:pt x="1400810"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410335" cy="339725"/>
              <wp:effectExtent b="0" l="0" r="0" t="0"/>
              <wp:wrapNone/>
              <wp:docPr id="118488826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41033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1184888258" name=""/>
              <a:graphic>
                <a:graphicData uri="http://schemas.microsoft.com/office/word/2010/wordprocessingShape">
                  <wps:wsp>
                    <wps:cNvSpPr/>
                    <wps:cNvPr id="4" name="Shape 4"/>
                    <wps:spPr>
                      <a:xfrm>
                        <a:off x="5308854"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40.999999046325684"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118488825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1184888259" name=""/>
              <a:graphic>
                <a:graphicData uri="http://schemas.microsoft.com/office/word/2010/wordprocessingGroup">
                  <wpg:wgp>
                    <wpg:cNvGrpSpPr/>
                    <wpg:grpSpPr>
                      <a:xfrm>
                        <a:off x="2979975" y="3527900"/>
                        <a:ext cx="6383020" cy="504190"/>
                        <a:chOff x="2979975" y="3527900"/>
                        <a:chExt cx="6383025" cy="504200"/>
                      </a:xfrm>
                    </wpg:grpSpPr>
                    <wpg:grpSp>
                      <wpg:cNvGrpSpPr/>
                      <wpg:grpSpPr>
                        <a:xfrm>
                          <a:off x="2979990" y="3527905"/>
                          <a:ext cx="6383000" cy="504175"/>
                          <a:chOff x="0" y="0"/>
                          <a:chExt cx="6383000" cy="504175"/>
                        </a:xfrm>
                      </wpg:grpSpPr>
                      <wps:wsp>
                        <wps:cNvSpPr/>
                        <wps:cNvPr id="6" name="Shape 6"/>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118488825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r w:rsidDel="00000000" w:rsidR="00000000" w:rsidRPr="00000000"/>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378" w:hanging="142.00000000000003"/>
      </w:pPr>
      <w:rPr>
        <w:rFonts w:ascii="Noto Sans Symbols" w:cs="Noto Sans Symbols" w:eastAsia="Noto Sans Symbols" w:hAnsi="Noto Sans Symbols"/>
        <w:sz w:val="14"/>
        <w:szCs w:val="14"/>
      </w:rPr>
    </w:lvl>
    <w:lvl w:ilvl="1">
      <w:start w:val="0"/>
      <w:numFmt w:val="bullet"/>
      <w:lvlText w:val="•"/>
      <w:lvlJc w:val="left"/>
      <w:pPr>
        <w:ind w:left="1296" w:hanging="142"/>
      </w:pPr>
      <w:rPr/>
    </w:lvl>
    <w:lvl w:ilvl="2">
      <w:start w:val="0"/>
      <w:numFmt w:val="bullet"/>
      <w:lvlText w:val="•"/>
      <w:lvlJc w:val="left"/>
      <w:pPr>
        <w:ind w:left="2213" w:hanging="142"/>
      </w:pPr>
      <w:rPr/>
    </w:lvl>
    <w:lvl w:ilvl="3">
      <w:start w:val="0"/>
      <w:numFmt w:val="bullet"/>
      <w:lvlText w:val="•"/>
      <w:lvlJc w:val="left"/>
      <w:pPr>
        <w:ind w:left="3129" w:hanging="142"/>
      </w:pPr>
      <w:rPr/>
    </w:lvl>
    <w:lvl w:ilvl="4">
      <w:start w:val="0"/>
      <w:numFmt w:val="bullet"/>
      <w:lvlText w:val="•"/>
      <w:lvlJc w:val="left"/>
      <w:pPr>
        <w:ind w:left="4046" w:hanging="141.99999999999955"/>
      </w:pPr>
      <w:rPr/>
    </w:lvl>
    <w:lvl w:ilvl="5">
      <w:start w:val="0"/>
      <w:numFmt w:val="bullet"/>
      <w:lvlText w:val="•"/>
      <w:lvlJc w:val="left"/>
      <w:pPr>
        <w:ind w:left="4963" w:hanging="142"/>
      </w:pPr>
      <w:rPr/>
    </w:lvl>
    <w:lvl w:ilvl="6">
      <w:start w:val="0"/>
      <w:numFmt w:val="bullet"/>
      <w:lvlText w:val="•"/>
      <w:lvlJc w:val="left"/>
      <w:pPr>
        <w:ind w:left="5879" w:hanging="142.0000000000009"/>
      </w:pPr>
      <w:rPr/>
    </w:lvl>
    <w:lvl w:ilvl="7">
      <w:start w:val="0"/>
      <w:numFmt w:val="bullet"/>
      <w:lvlText w:val="•"/>
      <w:lvlJc w:val="left"/>
      <w:pPr>
        <w:ind w:left="6796" w:hanging="142"/>
      </w:pPr>
      <w:rPr/>
    </w:lvl>
    <w:lvl w:ilvl="8">
      <w:start w:val="0"/>
      <w:numFmt w:val="bullet"/>
      <w:lvlText w:val="•"/>
      <w:lvlJc w:val="left"/>
      <w:pPr>
        <w:ind w:left="7713" w:hanging="142.0000000000009"/>
      </w:pPr>
      <w:rPr/>
    </w:lvl>
  </w:abstractNum>
  <w:abstractNum w:abstractNumId="3">
    <w:lvl w:ilvl="0">
      <w:start w:val="0"/>
      <w:numFmt w:val="bullet"/>
      <w:lvlText w:val="•"/>
      <w:lvlJc w:val="left"/>
      <w:pPr>
        <w:ind w:left="378" w:hanging="142.00000000000003"/>
      </w:pPr>
      <w:rPr>
        <w:rFonts w:ascii="Noto Sans Symbols" w:cs="Noto Sans Symbols" w:eastAsia="Noto Sans Symbols" w:hAnsi="Noto Sans Symbols"/>
        <w:sz w:val="14"/>
        <w:szCs w:val="14"/>
      </w:rPr>
    </w:lvl>
    <w:lvl w:ilvl="1">
      <w:start w:val="0"/>
      <w:numFmt w:val="bullet"/>
      <w:lvlText w:val="•"/>
      <w:lvlJc w:val="left"/>
      <w:pPr>
        <w:ind w:left="1296" w:hanging="142"/>
      </w:pPr>
      <w:rPr/>
    </w:lvl>
    <w:lvl w:ilvl="2">
      <w:start w:val="0"/>
      <w:numFmt w:val="bullet"/>
      <w:lvlText w:val="•"/>
      <w:lvlJc w:val="left"/>
      <w:pPr>
        <w:ind w:left="2213" w:hanging="142"/>
      </w:pPr>
      <w:rPr/>
    </w:lvl>
    <w:lvl w:ilvl="3">
      <w:start w:val="0"/>
      <w:numFmt w:val="bullet"/>
      <w:lvlText w:val="•"/>
      <w:lvlJc w:val="left"/>
      <w:pPr>
        <w:ind w:left="3129" w:hanging="142"/>
      </w:pPr>
      <w:rPr/>
    </w:lvl>
    <w:lvl w:ilvl="4">
      <w:start w:val="0"/>
      <w:numFmt w:val="bullet"/>
      <w:lvlText w:val="•"/>
      <w:lvlJc w:val="left"/>
      <w:pPr>
        <w:ind w:left="4046" w:hanging="141"/>
      </w:pPr>
      <w:rPr/>
    </w:lvl>
    <w:lvl w:ilvl="5">
      <w:start w:val="0"/>
      <w:numFmt w:val="bullet"/>
      <w:lvlText w:val="•"/>
      <w:lvlJc w:val="left"/>
      <w:pPr>
        <w:ind w:left="4963" w:hanging="142"/>
      </w:pPr>
      <w:rPr/>
    </w:lvl>
    <w:lvl w:ilvl="6">
      <w:start w:val="0"/>
      <w:numFmt w:val="bullet"/>
      <w:lvlText w:val="•"/>
      <w:lvlJc w:val="left"/>
      <w:pPr>
        <w:ind w:left="5879" w:hanging="142.0000000000009"/>
      </w:pPr>
      <w:rPr/>
    </w:lvl>
    <w:lvl w:ilvl="7">
      <w:start w:val="0"/>
      <w:numFmt w:val="bullet"/>
      <w:lvlText w:val="•"/>
      <w:lvlJc w:val="left"/>
      <w:pPr>
        <w:ind w:left="6796" w:hanging="142"/>
      </w:pPr>
      <w:rPr/>
    </w:lvl>
    <w:lvl w:ilvl="8">
      <w:start w:val="0"/>
      <w:numFmt w:val="bullet"/>
      <w:lvlText w:val="•"/>
      <w:lvlJc w:val="left"/>
      <w:pPr>
        <w:ind w:left="7713" w:hanging="142.0000000000009"/>
      </w:pPr>
      <w:rPr/>
    </w:lvl>
  </w:abstractNum>
  <w:abstractNum w:abstractNumId="4">
    <w:lvl w:ilvl="0">
      <w:start w:val="1"/>
      <w:numFmt w:val="decimal"/>
      <w:lvlText w:val="%1."/>
      <w:lvlJc w:val="left"/>
      <w:pPr>
        <w:ind w:left="236" w:hanging="191"/>
      </w:pPr>
      <w:rPr>
        <w:rFonts w:ascii="Arial" w:cs="Arial" w:eastAsia="Arial" w:hAnsi="Arial"/>
        <w:b w:val="1"/>
        <w:sz w:val="14"/>
        <w:szCs w:val="14"/>
      </w:rPr>
    </w:lvl>
    <w:lvl w:ilvl="1">
      <w:start w:val="0"/>
      <w:numFmt w:val="bullet"/>
      <w:lvlText w:val="•"/>
      <w:lvlJc w:val="left"/>
      <w:pPr>
        <w:ind w:left="1170" w:hanging="192"/>
      </w:pPr>
      <w:rPr/>
    </w:lvl>
    <w:lvl w:ilvl="2">
      <w:start w:val="0"/>
      <w:numFmt w:val="bullet"/>
      <w:lvlText w:val="•"/>
      <w:lvlJc w:val="left"/>
      <w:pPr>
        <w:ind w:left="2101" w:hanging="192"/>
      </w:pPr>
      <w:rPr/>
    </w:lvl>
    <w:lvl w:ilvl="3">
      <w:start w:val="0"/>
      <w:numFmt w:val="bullet"/>
      <w:lvlText w:val="•"/>
      <w:lvlJc w:val="left"/>
      <w:pPr>
        <w:ind w:left="3031" w:hanging="191"/>
      </w:pPr>
      <w:rPr/>
    </w:lvl>
    <w:lvl w:ilvl="4">
      <w:start w:val="0"/>
      <w:numFmt w:val="bullet"/>
      <w:lvlText w:val="•"/>
      <w:lvlJc w:val="left"/>
      <w:pPr>
        <w:ind w:left="3962" w:hanging="192"/>
      </w:pPr>
      <w:rPr/>
    </w:lvl>
    <w:lvl w:ilvl="5">
      <w:start w:val="0"/>
      <w:numFmt w:val="bullet"/>
      <w:lvlText w:val="•"/>
      <w:lvlJc w:val="left"/>
      <w:pPr>
        <w:ind w:left="4893" w:hanging="192"/>
      </w:pPr>
      <w:rPr/>
    </w:lvl>
    <w:lvl w:ilvl="6">
      <w:start w:val="0"/>
      <w:numFmt w:val="bullet"/>
      <w:lvlText w:val="•"/>
      <w:lvlJc w:val="left"/>
      <w:pPr>
        <w:ind w:left="5823" w:hanging="192.0000000000009"/>
      </w:pPr>
      <w:rPr/>
    </w:lvl>
    <w:lvl w:ilvl="7">
      <w:start w:val="0"/>
      <w:numFmt w:val="bullet"/>
      <w:lvlText w:val="•"/>
      <w:lvlJc w:val="left"/>
      <w:pPr>
        <w:ind w:left="6754" w:hanging="192.0000000000009"/>
      </w:pPr>
      <w:rPr/>
    </w:lvl>
    <w:lvl w:ilvl="8">
      <w:start w:val="0"/>
      <w:numFmt w:val="bullet"/>
      <w:lvlText w:val="•"/>
      <w:lvlJc w:val="left"/>
      <w:pPr>
        <w:ind w:left="7685" w:hanging="192"/>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 w:lineRule="auto"/>
      <w:ind w:left="397" w:right="391"/>
      <w:jc w:val="center"/>
    </w:pPr>
    <w:rPr>
      <w:b w:val="1"/>
      <w:sz w:val="32"/>
      <w:szCs w:val="32"/>
    </w:rPr>
  </w:style>
  <w:style w:type="paragraph" w:styleId="Heading2">
    <w:name w:val="heading 2"/>
    <w:basedOn w:val="Normal"/>
    <w:next w:val="Normal"/>
    <w:pPr>
      <w:ind w:left="391" w:right="391"/>
      <w:jc w:val="center"/>
    </w:pPr>
    <w:rPr>
      <w:b w:val="1"/>
      <w:sz w:val="24"/>
      <w:szCs w:val="24"/>
    </w:rPr>
  </w:style>
  <w:style w:type="paragraph" w:styleId="Heading3">
    <w:name w:val="heading 3"/>
    <w:basedOn w:val="Normal"/>
    <w:next w:val="Normal"/>
    <w:pPr>
      <w:spacing w:before="77" w:lineRule="auto"/>
      <w:ind w:left="116"/>
    </w:pPr>
    <w:rPr>
      <w:b w:val="1"/>
      <w:sz w:val="20"/>
      <w:szCs w:val="20"/>
    </w:rPr>
  </w:style>
  <w:style w:type="paragraph" w:styleId="Heading4">
    <w:name w:val="heading 4"/>
    <w:basedOn w:val="Normal"/>
    <w:next w:val="Normal"/>
    <w:pPr>
      <w:ind w:left="116"/>
    </w:pPr>
    <w:rPr>
      <w:b w:val="1"/>
      <w:sz w:val="16"/>
      <w:szCs w:val="1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eastAsia="Arial" w:hAnsi="Arial"/>
      <w:lang w:bidi="tr-TR" w:eastAsia="tr-TR" w:val="tr-TR"/>
    </w:rPr>
  </w:style>
  <w:style w:type="paragraph" w:styleId="Heading1">
    <w:name w:val="heading 1"/>
    <w:basedOn w:val="Normal"/>
    <w:link w:val="Heading1Char"/>
    <w:qFormat w:val="1"/>
    <w:pPr>
      <w:spacing w:before="1"/>
      <w:ind w:left="397" w:right="391"/>
      <w:jc w:val="center"/>
      <w:outlineLvl w:val="0"/>
    </w:pPr>
    <w:rPr>
      <w:b w:val="1"/>
      <w:bCs w:val="1"/>
      <w:sz w:val="32"/>
      <w:szCs w:val="32"/>
    </w:rPr>
  </w:style>
  <w:style w:type="paragraph" w:styleId="Heading2">
    <w:name w:val="heading 2"/>
    <w:basedOn w:val="Normal"/>
    <w:link w:val="Heading2Char"/>
    <w:uiPriority w:val="9"/>
    <w:unhideWhenUsed w:val="1"/>
    <w:qFormat w:val="1"/>
    <w:pPr>
      <w:ind w:left="391" w:right="391"/>
      <w:jc w:val="center"/>
      <w:outlineLvl w:val="1"/>
    </w:pPr>
    <w:rPr>
      <w:b w:val="1"/>
      <w:bCs w:val="1"/>
      <w:sz w:val="24"/>
      <w:szCs w:val="24"/>
    </w:rPr>
  </w:style>
  <w:style w:type="paragraph" w:styleId="Heading3">
    <w:name w:val="heading 3"/>
    <w:basedOn w:val="Normal"/>
    <w:uiPriority w:val="9"/>
    <w:unhideWhenUsed w:val="1"/>
    <w:qFormat w:val="1"/>
    <w:pPr>
      <w:spacing w:before="77"/>
      <w:ind w:left="116"/>
      <w:outlineLvl w:val="2"/>
    </w:pPr>
    <w:rPr>
      <w:b w:val="1"/>
      <w:bCs w:val="1"/>
      <w:sz w:val="20"/>
      <w:szCs w:val="20"/>
    </w:rPr>
  </w:style>
  <w:style w:type="paragraph" w:styleId="Heading4">
    <w:name w:val="heading 4"/>
    <w:basedOn w:val="Normal"/>
    <w:uiPriority w:val="9"/>
    <w:unhideWhenUsed w:val="1"/>
    <w:qFormat w:val="1"/>
    <w:pPr>
      <w:ind w:left="116"/>
      <w:outlineLvl w:val="3"/>
    </w:pPr>
    <w:rPr>
      <w:b w:val="1"/>
      <w:bCs w:val="1"/>
      <w:sz w:val="16"/>
      <w:szCs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rPr>
      <w:sz w:val="14"/>
      <w:szCs w:val="14"/>
    </w:rPr>
  </w:style>
  <w:style w:type="paragraph" w:styleId="ListParagraph">
    <w:name w:val="List Paragraph"/>
    <w:basedOn w:val="Normal"/>
    <w:uiPriority w:val="1"/>
    <w:qFormat w:val="1"/>
    <w:pPr>
      <w:spacing w:line="160" w:lineRule="exact"/>
      <w:ind w:left="260" w:hanging="144"/>
    </w:pPr>
  </w:style>
  <w:style w:type="paragraph" w:styleId="TableParagraph" w:customStyle="1">
    <w:name w:val="Table Paragraph"/>
    <w:basedOn w:val="Normal"/>
    <w:uiPriority w:val="1"/>
    <w:qFormat w:val="1"/>
    <w:pPr>
      <w:spacing w:line="140" w:lineRule="exact"/>
      <w:ind w:left="110"/>
    </w:pPr>
  </w:style>
  <w:style w:type="paragraph" w:styleId="Varsaylan" w:customStyle="1">
    <w:name w:val="Varsayılan"/>
    <w:rsid w:val="00A80220"/>
    <w:pPr>
      <w:widowControl w:val="1"/>
      <w:suppressAutoHyphens w:val="1"/>
      <w:autoSpaceDE w:val="1"/>
      <w:spacing w:line="200" w:lineRule="atLeast"/>
      <w:textAlignment w:val="baseline"/>
    </w:pPr>
    <w:rPr>
      <w:rFonts w:ascii="Mangal" w:cs="Liberation Sans" w:eastAsia="Tahoma" w:hAnsi="Mangal"/>
      <w:color w:val="000000"/>
      <w:kern w:val="3"/>
      <w:sz w:val="36"/>
      <w:szCs w:val="24"/>
      <w:lang w:bidi="hi-IN" w:eastAsia="zh-CN" w:val="tr-TR"/>
    </w:rPr>
  </w:style>
  <w:style w:type="character" w:styleId="Hyperlink">
    <w:name w:val="Hyperlink"/>
    <w:basedOn w:val="DefaultParagraphFont"/>
    <w:rsid w:val="00A80220"/>
    <w:rPr>
      <w:color w:val="0563c1"/>
      <w:u w:val="single"/>
    </w:rPr>
  </w:style>
  <w:style w:type="table" w:styleId="TableGrid">
    <w:name w:val="Table Grid"/>
    <w:basedOn w:val="TableNormal"/>
    <w:uiPriority w:val="39"/>
    <w:rsid w:val="00A80220"/>
    <w:pPr>
      <w:autoSpaceDE w:val="1"/>
      <w:textAlignment w:val="baseline"/>
    </w:pPr>
    <w:rPr>
      <w:rFonts w:ascii="Liberation Serif" w:cs="Mangal" w:eastAsia="SimSun" w:hAnsi="Liberation Serif"/>
      <w:kern w:val="3"/>
      <w:sz w:val="24"/>
      <w:szCs w:val="24"/>
      <w:lang w:bidi="hi-IN" w:eastAsia="zh-CN" w:val="tr-T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
    <w:name w:val="Grid Table 1 Light"/>
    <w:basedOn w:val="TableNormal"/>
    <w:uiPriority w:val="46"/>
    <w:rsid w:val="00A80220"/>
    <w:pPr>
      <w:widowControl w:val="1"/>
      <w:autoSpaceDE w:val="1"/>
      <w:autoSpaceDN w:val="1"/>
    </w:pPr>
    <w:rPr>
      <w:lang w:val="tr-TR"/>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Default" w:customStyle="1">
    <w:name w:val="Default"/>
    <w:rsid w:val="00A80220"/>
    <w:pPr>
      <w:widowControl w:val="1"/>
      <w:adjustRightInd w:val="0"/>
    </w:pPr>
    <w:rPr>
      <w:rFonts w:ascii="Calibri" w:cs="Calibri" w:hAnsi="Calibri"/>
      <w:color w:val="000000"/>
      <w:sz w:val="24"/>
      <w:szCs w:val="24"/>
      <w:lang w:val="tr-TR"/>
    </w:rPr>
  </w:style>
  <w:style w:type="paragraph" w:styleId="Header">
    <w:name w:val="header"/>
    <w:basedOn w:val="Normal"/>
    <w:link w:val="HeaderChar"/>
    <w:unhideWhenUsed w:val="1"/>
    <w:rsid w:val="00A80220"/>
    <w:pPr>
      <w:widowControl w:val="1"/>
      <w:tabs>
        <w:tab w:val="center" w:pos="4536"/>
        <w:tab w:val="right" w:pos="9072"/>
      </w:tabs>
      <w:autoSpaceDE w:val="1"/>
      <w:autoSpaceDN w:val="1"/>
    </w:pPr>
    <w:rPr>
      <w:rFonts w:asciiTheme="minorHAnsi" w:cstheme="minorBidi" w:eastAsiaTheme="minorHAnsi" w:hAnsiTheme="minorHAnsi"/>
      <w:lang w:bidi="ar-SA" w:eastAsia="en-US"/>
    </w:rPr>
  </w:style>
  <w:style w:type="character" w:styleId="HeaderChar" w:customStyle="1">
    <w:name w:val="Header Char"/>
    <w:basedOn w:val="DefaultParagraphFont"/>
    <w:link w:val="Header"/>
    <w:rsid w:val="00A80220"/>
    <w:rPr>
      <w:lang w:val="tr-TR"/>
    </w:rPr>
  </w:style>
  <w:style w:type="paragraph" w:styleId="Footer">
    <w:name w:val="footer"/>
    <w:basedOn w:val="Normal"/>
    <w:link w:val="FooterChar"/>
    <w:uiPriority w:val="99"/>
    <w:unhideWhenUsed w:val="1"/>
    <w:rsid w:val="00A80220"/>
    <w:pPr>
      <w:widowControl w:val="1"/>
      <w:tabs>
        <w:tab w:val="center" w:pos="4536"/>
        <w:tab w:val="right" w:pos="9072"/>
      </w:tabs>
      <w:autoSpaceDE w:val="1"/>
      <w:autoSpaceDN w:val="1"/>
    </w:pPr>
    <w:rPr>
      <w:rFonts w:asciiTheme="minorHAnsi" w:cstheme="minorBidi" w:eastAsiaTheme="minorHAnsi" w:hAnsiTheme="minorHAnsi"/>
      <w:lang w:bidi="ar-SA" w:eastAsia="en-US"/>
    </w:rPr>
  </w:style>
  <w:style w:type="character" w:styleId="FooterChar" w:customStyle="1">
    <w:name w:val="Footer Char"/>
    <w:basedOn w:val="DefaultParagraphFont"/>
    <w:link w:val="Footer"/>
    <w:uiPriority w:val="99"/>
    <w:rsid w:val="00A80220"/>
    <w:rPr>
      <w:lang w:val="tr-TR"/>
    </w:rPr>
  </w:style>
  <w:style w:type="character" w:styleId="Heading1Char" w:customStyle="1">
    <w:name w:val="Heading 1 Char"/>
    <w:basedOn w:val="DefaultParagraphFont"/>
    <w:link w:val="Heading1"/>
    <w:rsid w:val="00A80220"/>
    <w:rPr>
      <w:rFonts w:ascii="Arial" w:cs="Arial" w:eastAsia="Arial" w:hAnsi="Arial"/>
      <w:b w:val="1"/>
      <w:bCs w:val="1"/>
      <w:sz w:val="32"/>
      <w:szCs w:val="32"/>
      <w:lang w:bidi="tr-TR" w:eastAsia="tr-TR" w:val="tr-TR"/>
    </w:rPr>
  </w:style>
  <w:style w:type="paragraph" w:styleId="Standard" w:customStyle="1">
    <w:name w:val="Standard"/>
    <w:rsid w:val="00A80220"/>
    <w:pPr>
      <w:suppressAutoHyphens w:val="1"/>
      <w:autoSpaceDE w:val="1"/>
      <w:textAlignment w:val="baseline"/>
    </w:pPr>
    <w:rPr>
      <w:rFonts w:ascii="Liberation Serif" w:cs="Mangal" w:eastAsia="SimSun" w:hAnsi="Liberation Serif"/>
      <w:kern w:val="3"/>
      <w:sz w:val="24"/>
      <w:szCs w:val="24"/>
      <w:lang w:bidi="hi-IN" w:eastAsia="zh-CN" w:val="tr-TR"/>
    </w:rPr>
  </w:style>
  <w:style w:type="paragraph" w:styleId="gray2" w:customStyle="1">
    <w:name w:val="gray2"/>
    <w:basedOn w:val="Default"/>
    <w:rsid w:val="00A80220"/>
    <w:pPr>
      <w:suppressAutoHyphens w:val="1"/>
      <w:autoSpaceDE w:val="1"/>
      <w:adjustRightInd w:val="1"/>
      <w:spacing w:line="200" w:lineRule="atLeast"/>
      <w:textAlignment w:val="baseline"/>
    </w:pPr>
    <w:rPr>
      <w:rFonts w:ascii="Mangal" w:cs="Mangal" w:eastAsia="Mangal" w:hAnsi="Mangal"/>
      <w:kern w:val="3"/>
      <w:sz w:val="36"/>
      <w:lang w:bidi="hi-IN" w:eastAsia="zh-CN"/>
    </w:rPr>
  </w:style>
  <w:style w:type="paragraph" w:styleId="PlainText">
    <w:name w:val="Plain Text"/>
    <w:basedOn w:val="Normal"/>
    <w:link w:val="PlainTextChar"/>
    <w:uiPriority w:val="99"/>
    <w:unhideWhenUsed w:val="1"/>
    <w:rsid w:val="00A80220"/>
    <w:pPr>
      <w:widowControl w:val="1"/>
      <w:autoSpaceDE w:val="1"/>
      <w:autoSpaceDN w:val="1"/>
    </w:pPr>
    <w:rPr>
      <w:rFonts w:ascii="Calibri" w:hAnsi="Calibri" w:cstheme="minorBidi" w:eastAsiaTheme="minorHAnsi"/>
      <w:szCs w:val="21"/>
      <w:lang w:bidi="ar-SA" w:eastAsia="en-US"/>
    </w:rPr>
  </w:style>
  <w:style w:type="character" w:styleId="PlainTextChar" w:customStyle="1">
    <w:name w:val="Plain Text Char"/>
    <w:basedOn w:val="DefaultParagraphFont"/>
    <w:link w:val="PlainText"/>
    <w:uiPriority w:val="99"/>
    <w:rsid w:val="00A80220"/>
    <w:rPr>
      <w:rFonts w:ascii="Calibri" w:hAnsi="Calibri"/>
      <w:szCs w:val="21"/>
      <w:lang w:val="tr-TR"/>
    </w:rPr>
  </w:style>
  <w:style w:type="table" w:styleId="TabloKlavuzu1" w:customStyle="1">
    <w:name w:val="Tablo Kılavuzu1"/>
    <w:basedOn w:val="TableNormal"/>
    <w:next w:val="TableGrid"/>
    <w:uiPriority w:val="39"/>
    <w:rsid w:val="00A80220"/>
    <w:pPr>
      <w:widowControl w:val="1"/>
      <w:autoSpaceDE w:val="1"/>
      <w:autoSpaceDN w:val="1"/>
    </w:pPr>
    <w:rPr>
      <w:lang w:val="tr-T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A80220"/>
    <w:rPr>
      <w:color w:val="605e5c"/>
      <w:shd w:color="auto" w:fill="e1dfdd" w:val="clear"/>
    </w:rPr>
  </w:style>
  <w:style w:type="character" w:styleId="Heading2Char" w:customStyle="1">
    <w:name w:val="Heading 2 Char"/>
    <w:basedOn w:val="DefaultParagraphFont"/>
    <w:link w:val="Heading2"/>
    <w:uiPriority w:val="9"/>
    <w:rsid w:val="00A80220"/>
    <w:rPr>
      <w:rFonts w:ascii="Arial" w:cs="Arial" w:eastAsia="Arial" w:hAnsi="Arial"/>
      <w:b w:val="1"/>
      <w:bCs w:val="1"/>
      <w:sz w:val="24"/>
      <w:szCs w:val="24"/>
      <w:lang w:bidi="tr-TR" w:eastAsia="tr-TR" w:val="tr-TR"/>
    </w:rPr>
  </w:style>
  <w:style w:type="character" w:styleId="BodyTextChar" w:customStyle="1">
    <w:name w:val="Body Text Char"/>
    <w:basedOn w:val="DefaultParagraphFont"/>
    <w:link w:val="BodyText"/>
    <w:uiPriority w:val="1"/>
    <w:rsid w:val="00A80220"/>
    <w:rPr>
      <w:rFonts w:ascii="Arial" w:cs="Arial" w:eastAsia="Arial" w:hAnsi="Arial"/>
      <w:sz w:val="14"/>
      <w:szCs w:val="14"/>
      <w:lang w:bidi="tr-TR" w:eastAsia="tr-TR" w:val="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pPr>
      <w:widowControl w:val="1"/>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3">
    <w:basedOn w:val="TableNormal"/>
    <w:pPr>
      <w:widowControl w:val="1"/>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4">
    <w:basedOn w:val="TableNormal"/>
    <w:pPr>
      <w:widowControl w:val="1"/>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5">
    <w:basedOn w:val="TableNormal"/>
    <w:pPr>
      <w:widowControl w:val="1"/>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widowControl w:val="1"/>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ww.cdc.gov/std/hiv/stdfact-std-hiv.htm" TargetMode="External"/><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zOyoX+fnAqJVHtEO5pUlxDFeg==">CgMxLjAaHAoBMBIXChUIB0IRCgZCb2RvbmkSB0NvdXNpbmUyCGguZ2pkZ3hzMgloLjMwajB6bGwyCWguMWZvYjl0ZTIJaC4zem55c2g3Mg5oLmVoeGxmZTgzbmN4YzIJaC4yZXQ5MnAwMgloLjF0M2g1c2YyCWguNGQzNG9nODIJaC4yczhleW8xMgloLjE3ZHA4dnUyCWguM3JkY3JqbjIJaC4yNmluMXJnMghoLmxueGJ6OTIJaC4zNW5rdW4yMgloLjFrc3Y0dXYyCWguNDRzaW5pbzIJaC4yanhzeHFoMghoLnozMzd5YTIJaC4zajJxcW0zMg5oLm84enQwNjlwOXBhNDIOaC41bG04bXlpdGVqOXUyCWguNGk3b2pocDgAciExZkZFcVJ1bC1uUk1zdUd4SkZCdmFFNXBLSGhHbGREY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2024-11-28T13:05:00Z</dcterms:created>
  <dc:creator>Bahadır Akdemir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Word Microsoft 365 için</vt:lpwstr>
  </property>
  <property fmtid="{D5CDD505-2E9C-101B-9397-08002B2CF9AE}" pid="4" name="LastSaved">
    <vt:filetime>2024-11-28T00:00:00Z</vt:filetime>
  </property>
</Properties>
</file>